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z w:val="22"/>
          <w:szCs w:val="22"/>
          <w:rtl w:val="0"/>
        </w:rPr>
        <w:t xml:space="preserve">Meeting Date:  </w:t>
        <w:tab/>
      </w:r>
      <w:r w:rsidDel="00000000" w:rsidR="00000000" w:rsidRPr="00000000">
        <w:rPr>
          <w:sz w:val="22"/>
          <w:szCs w:val="22"/>
          <w:rtl w:val="0"/>
        </w:rPr>
        <w:t xml:space="preserve">15 November 2012</w:t>
      </w:r>
      <w:r w:rsidDel="00000000" w:rsidR="00000000" w:rsidRPr="00000000">
        <w:rPr>
          <w:rtl w:val="0"/>
        </w:rPr>
      </w:r>
    </w:p>
    <w:p w:rsidR="00000000" w:rsidDel="00000000" w:rsidP="00000000" w:rsidRDefault="00000000" w:rsidRPr="00000000" w14:paraId="00000006">
      <w:pPr>
        <w:pageBreakBefore w:val="0"/>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r>
      <w:r w:rsidDel="00000000" w:rsidR="00000000" w:rsidRPr="00000000">
        <w:rPr>
          <w:sz w:val="22"/>
          <w:szCs w:val="22"/>
          <w:rtl w:val="0"/>
        </w:rPr>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528"/>
        <w:gridCol w:w="360"/>
        <w:gridCol w:w="3780"/>
        <w:gridCol w:w="360"/>
        <w:gridCol w:w="3240"/>
        <w:gridCol w:w="360"/>
        <w:gridCol w:w="2070"/>
        <w:gridCol w:w="900"/>
        <w:tblGridChange w:id="0">
          <w:tblGrid>
            <w:gridCol w:w="3528"/>
            <w:gridCol w:w="360"/>
            <w:gridCol w:w="3780"/>
            <w:gridCol w:w="360"/>
            <w:gridCol w:w="3240"/>
            <w:gridCol w:w="360"/>
            <w:gridCol w:w="2070"/>
            <w:gridCol w:w="90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Bonnyjean Manini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1:05 </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jc w:val="center"/>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jc w:val="center"/>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Doug Vincent started the meeting at 1:05PM </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Motion to approve the minutes from 10/18/2012 meeting was made and passed, as amended.</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Grad Division Reorganization</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CAB discussed the </w:t>
            </w:r>
            <w:hyperlink r:id="rId6">
              <w:r w:rsidDel="00000000" w:rsidR="00000000" w:rsidRPr="00000000">
                <w:rPr>
                  <w:color w:val="0000ff"/>
                  <w:sz w:val="22"/>
                  <w:szCs w:val="22"/>
                  <w:u w:val="single"/>
                  <w:rtl w:val="0"/>
                </w:rPr>
                <w:t xml:space="preserve">reorganization proposal</w:t>
              </w:r>
            </w:hyperlink>
            <w:r w:rsidDel="00000000" w:rsidR="00000000" w:rsidRPr="00000000">
              <w:rPr>
                <w:color w:val="000000"/>
                <w:sz w:val="22"/>
                <w:szCs w:val="22"/>
                <w:rtl w:val="0"/>
              </w:rPr>
              <w:t xml:space="preserve"> to move graduate division away from the OVCRGE to the OVCAA.  CAB was troubled by the weakness of the proposal; the lack of the compelling case.  Questions arose as to “why?” Or what’s broken that needs fixing? These questions are never addressed in the proposal. The justification: </w:t>
            </w:r>
            <w:r w:rsidDel="00000000" w:rsidR="00000000" w:rsidRPr="00000000">
              <w:rPr>
                <w:i w:val="1"/>
                <w:color w:val="000000"/>
                <w:sz w:val="22"/>
                <w:szCs w:val="22"/>
                <w:rtl w:val="0"/>
              </w:rPr>
              <w:t xml:space="preserve">“The proposed reorganization will enhance the alignment and integration of graduate education with overall campus academic strategic and program planning, while to ensure collaboration with campus research programs and initiatives.  The VCR will continue to collaborate on the design of graduate education and training programs while focusing on supporting and growing the University’s research programs.”</w:t>
            </w:r>
            <w:r w:rsidDel="00000000" w:rsidR="00000000" w:rsidRPr="00000000">
              <w:rPr>
                <w:color w:val="000000"/>
                <w:sz w:val="22"/>
                <w:szCs w:val="22"/>
                <w:rtl w:val="0"/>
              </w:rPr>
              <w:t xml:space="preserve"> is repeated throughout the document.   How does aligning graduate education with undergraduate education make sense?  No case is made on how or how much the program will be enhanced from the current structure.  Since graduate programs are more connected with research and developing new knowledge, not with undergraduate programs, the realignment, as proposed, is difficult to justify.  A major concern is that SOEST remains under purview of OVCRGE, yet they have a significant amount of research programs, how will the lines of authority be determined.  It’s not clear.  The Chair noted that the leadership of the Graduate Student Organization had been contacted about this issue.  In addition, comments have been received from former Dean of Graduate Division.  Bonnyjean reported that in the meeting with the Chancellor and SEC Vice Chair Ericson that the Graduate Education proposal could wait until the January Senate meeting for consideration.</w:t>
            </w:r>
          </w:p>
        </w:tc>
        <w:tc>
          <w:tcPr/>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The CAB chair – will draft a series of questions, upon approval of CAB, to be submitted to VCRGE Brian Taylor; VCAA Reed Dasenbrock and Dean of Graduate Division Pat Cooper.   The Chair will also attempt to find out if there is a graduate chair listserv and seek opinions from the graduate chairs on this issue.  CAB will work toward the January 16, 2012 Senate meeting to provide our opinion to the entire Senate.</w:t>
            </w:r>
          </w:p>
        </w:tc>
      </w:tr>
      <w:tr>
        <w:trPr>
          <w:cantSplit w:val="0"/>
          <w:trHeight w:val="4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OLD Business SUMMARY OF CARRY-OVER ISSUES BEFORE CAB</w:t>
            </w:r>
          </w:p>
        </w:tc>
        <w:tc>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 updated the committee on emails sent to the Co-Chairs of Committee on Professional Matters regarding Issues #36.12 Evaluation of Administration/Administrators and #5.13 Faculty Hiring, Promotion &amp; Tenure v. Non-Tenure Track Positions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no confidence motion of President Greenwood, the BOR has granted a vote of confidence to the President despite the pending report from the Senate Special Committee on Accountability.  Bonnyjean noted that Linda Johnsrud had submitted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 memo to the SEC, dated October 29, 2012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addressing the concerns raised by CAB in their memo to the SEC. </w:t>
            </w:r>
          </w:p>
        </w:tc>
        <w:tc>
          <w:tcPr/>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CPM is lead on these issues, CAB will wait for communications from CPM.</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further action on the no confidence motion will be taken at this time.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noted that the report and documentation on the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Senate Special Committee on Accountability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published on the Senate website.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pageBreakBefore w:val="0"/>
              <w:rPr>
                <w:b w:val="1"/>
                <w:sz w:val="22"/>
                <w:szCs w:val="22"/>
              </w:rPr>
            </w:pPr>
            <w:r w:rsidDel="00000000" w:rsidR="00000000" w:rsidRPr="00000000">
              <w:rPr>
                <w:b w:val="1"/>
                <w:sz w:val="22"/>
                <w:szCs w:val="22"/>
                <w:rtl w:val="0"/>
              </w:rPr>
              <w:t xml:space="preserve">MEETING SCHEDULE</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Chair Vincent sent out a Doodle survey requesting input on Spring Semester meetings of CAB.  The best day was Thursday, at 2:30 pm – 4:30 pm.  Questions were raised about a CAB meeting</w:t>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rtl w:val="0"/>
              </w:rPr>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CAB will meet on the first and third Thursday of each month with the exception of January 2013, when we will meet on January 10 and 24, 2013.  Chair will notify the SEC office and request use of Hawaii Hall 208.</w:t>
            </w:r>
          </w:p>
        </w:tc>
      </w:tr>
      <w:tr>
        <w:trPr>
          <w:cantSplit w:val="0"/>
          <w:trHeight w:val="460" w:hRule="atLeast"/>
          <w:tblHeader w:val="0"/>
        </w:trPr>
        <w:tc>
          <w:tcPr/>
          <w:p w:rsidR="00000000" w:rsidDel="00000000" w:rsidP="00000000" w:rsidRDefault="00000000" w:rsidRPr="00000000" w14:paraId="00000054">
            <w:pPr>
              <w:pageBreakBefore w:val="0"/>
              <w:rPr>
                <w:b w:val="1"/>
                <w:sz w:val="22"/>
                <w:szCs w:val="22"/>
              </w:rPr>
            </w:pPr>
            <w:r w:rsidDel="00000000" w:rsidR="00000000" w:rsidRPr="00000000">
              <w:rPr>
                <w:b w:val="1"/>
                <w:sz w:val="22"/>
                <w:szCs w:val="22"/>
                <w:rtl w:val="0"/>
              </w:rPr>
              <w:t xml:space="preserve">Passing of Paul Yuen</w:t>
            </w:r>
          </w:p>
        </w:tc>
        <w:tc>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Committee noted the passing of former acting UH President Paul Yuen; Engineering Dean and Vice President for Academic Affairs</w:t>
            </w:r>
          </w:p>
        </w:tc>
        <w:tc>
          <w:tcPr/>
          <w:p w:rsidR="00000000" w:rsidDel="00000000" w:rsidP="00000000" w:rsidRDefault="00000000" w:rsidRPr="00000000" w14:paraId="0000005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58">
            <w:pPr>
              <w:pageBreakBefore w:val="0"/>
              <w:rPr>
                <w:b w:val="1"/>
                <w:sz w:val="22"/>
                <w:szCs w:val="22"/>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adjourned the meeting at 2:15 pm</w:t>
            </w:r>
          </w:p>
        </w:tc>
        <w:tc>
          <w:tcPr/>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Approved on </w:t>
      </w:r>
      <w:r w:rsidDel="00000000" w:rsidR="00000000" w:rsidRPr="00000000">
        <w:rPr>
          <w:sz w:val="22"/>
          <w:szCs w:val="22"/>
          <w:rtl w:val="0"/>
        </w:rPr>
        <w:t xml:space="preserve">January 10, 2013 with 8 votes in favor of approval and 0 against. Respectfully submitted by James T. Potemra.</w:t>
      </w:r>
    </w:p>
    <w:sectPr>
      <w:headerReference r:id="rId9" w:type="default"/>
      <w:headerReference r:id="rId10" w:type="first"/>
      <w:headerReference r:id="rId11" w:type="even"/>
      <w:footerReference r:id="rId12" w:type="default"/>
      <w:footerReference r:id="rId13" w:type="first"/>
      <w:footerReference r:id="rId14"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manoa.hawaii.edu/ovcafo/neworg_charts/GradEdFullProposal11-13-12.pdf" TargetMode="External"/><Relationship Id="rId7" Type="http://schemas.openxmlformats.org/officeDocument/2006/relationships/hyperlink" Target="http://www.hawaii.edu/uhmfs/issues/requests/2012_13/20121029_johnsrud_cabmemonoconfidence.pdf" TargetMode="External"/><Relationship Id="rId8" Type="http://schemas.openxmlformats.org/officeDocument/2006/relationships/hyperlink" Target="http://www.capitol.hawaii.gov/specialcommittee.aspx?comm=SCA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