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between w:color="000000" w:space="1" w:sz="4" w:val="single"/>
        </w:pBdr>
        <w:jc w:val="center"/>
        <w:rPr>
          <w:b w:val="1"/>
          <w:sz w:val="22"/>
          <w:szCs w:val="22"/>
        </w:rPr>
      </w:pPr>
      <w:r w:rsidDel="00000000" w:rsidR="00000000" w:rsidRPr="00000000">
        <w:rPr>
          <w:b w:val="1"/>
          <w:sz w:val="22"/>
          <w:szCs w:val="22"/>
          <w:rtl w:val="0"/>
        </w:rPr>
        <w:t xml:space="preserve">MANOA FACULTY SENATE</w:t>
      </w:r>
    </w:p>
    <w:p w:rsidR="00000000" w:rsidDel="00000000" w:rsidP="00000000" w:rsidRDefault="00000000" w:rsidRPr="00000000" w14:paraId="00000002">
      <w:pPr>
        <w:pageBreakBefore w:val="0"/>
        <w:jc w:val="center"/>
        <w:rPr>
          <w:b w:val="1"/>
          <w:sz w:val="22"/>
          <w:szCs w:val="22"/>
        </w:rPr>
      </w:pPr>
      <w:r w:rsidDel="00000000" w:rsidR="00000000" w:rsidRPr="00000000">
        <w:rPr>
          <w:b w:val="1"/>
          <w:sz w:val="22"/>
          <w:szCs w:val="22"/>
          <w:rtl w:val="0"/>
        </w:rPr>
        <w:t xml:space="preserve">Committee on Administration and Budget (CAB)</w:t>
      </w:r>
    </w:p>
    <w:p w:rsidR="00000000" w:rsidDel="00000000" w:rsidP="00000000" w:rsidRDefault="00000000" w:rsidRPr="00000000" w14:paraId="00000003">
      <w:pPr>
        <w:pageBreakBefore w:val="0"/>
        <w:jc w:val="center"/>
        <w:rPr>
          <w:b w:val="1"/>
          <w:sz w:val="22"/>
          <w:szCs w:val="22"/>
        </w:rPr>
      </w:pPr>
      <w:r w:rsidDel="00000000" w:rsidR="00000000" w:rsidRPr="00000000">
        <w:rPr>
          <w:b w:val="1"/>
          <w:sz w:val="22"/>
          <w:szCs w:val="22"/>
          <w:rtl w:val="0"/>
        </w:rPr>
        <w:t xml:space="preserve">Meeting Minutes</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z w:val="22"/>
          <w:szCs w:val="22"/>
          <w:rtl w:val="0"/>
        </w:rPr>
        <w:t xml:space="preserve">Meeting Date:  </w:t>
        <w:tab/>
      </w:r>
      <w:r w:rsidDel="00000000" w:rsidR="00000000" w:rsidRPr="00000000">
        <w:rPr>
          <w:sz w:val="22"/>
          <w:szCs w:val="22"/>
          <w:rtl w:val="0"/>
        </w:rPr>
        <w:t xml:space="preserve">07 February 2013</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rtl w:val="0"/>
        </w:rPr>
      </w:r>
    </w:p>
    <w:p w:rsidR="00000000" w:rsidDel="00000000" w:rsidP="00000000" w:rsidRDefault="00000000" w:rsidRPr="00000000" w14:paraId="00000007">
      <w:pPr>
        <w:pageBreakBefore w:val="0"/>
        <w:rPr>
          <w:b w:val="1"/>
          <w:sz w:val="22"/>
          <w:szCs w:val="22"/>
        </w:rPr>
      </w:pPr>
      <w:bookmarkStart w:colFirst="0" w:colLast="0" w:name="_gjdgxs" w:id="0"/>
      <w:bookmarkEnd w:id="0"/>
      <w:r w:rsidDel="00000000" w:rsidR="00000000" w:rsidRPr="00000000">
        <w:rPr>
          <w:b w:val="1"/>
          <w:sz w:val="22"/>
          <w:szCs w:val="22"/>
          <w:rtl w:val="0"/>
        </w:rPr>
        <w:t xml:space="preserve">Location:</w:t>
      </w:r>
      <w:r w:rsidDel="00000000" w:rsidR="00000000" w:rsidRPr="00000000">
        <w:rPr>
          <w:sz w:val="22"/>
          <w:szCs w:val="22"/>
          <w:rtl w:val="0"/>
        </w:rPr>
        <w:tab/>
        <w:tab/>
        <w:t xml:space="preserve">HH-208</w:t>
      </w:r>
      <w:r w:rsidDel="00000000" w:rsidR="00000000" w:rsidRPr="00000000">
        <w:rPr>
          <w:rtl w:val="0"/>
        </w:rPr>
      </w:r>
    </w:p>
    <w:p w:rsidR="00000000" w:rsidDel="00000000" w:rsidP="00000000" w:rsidRDefault="00000000" w:rsidRPr="00000000" w14:paraId="00000008">
      <w:pPr>
        <w:pageBreakBefore w:val="0"/>
        <w:rPr>
          <w:b w:val="1"/>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b w:val="1"/>
          <w:sz w:val="22"/>
          <w:szCs w:val="22"/>
          <w:rtl w:val="0"/>
        </w:rPr>
        <w:t xml:space="preserve">Attendance:</w:t>
        <w:tab/>
        <w:tab/>
      </w:r>
      <w:r w:rsidDel="00000000" w:rsidR="00000000" w:rsidRPr="00000000">
        <w:rPr>
          <w:sz w:val="22"/>
          <w:szCs w:val="22"/>
          <w:rtl w:val="0"/>
        </w:rPr>
        <w:t xml:space="preserve">[P = Present; A = Absent; E = Excused]</w:t>
      </w:r>
    </w:p>
    <w:p w:rsidR="00000000" w:rsidDel="00000000" w:rsidP="00000000" w:rsidRDefault="00000000" w:rsidRPr="00000000" w14:paraId="0000000A">
      <w:pPr>
        <w:pageBreakBefore w:val="0"/>
        <w:rPr>
          <w:sz w:val="22"/>
          <w:szCs w:val="22"/>
        </w:rPr>
      </w:pPr>
      <w:r w:rsidDel="00000000" w:rsidR="00000000" w:rsidRPr="00000000">
        <w:rPr>
          <w:rtl w:val="0"/>
        </w:rPr>
      </w:r>
    </w:p>
    <w:tbl>
      <w:tblPr>
        <w:tblStyle w:val="Table1"/>
        <w:tblW w:w="14598.0" w:type="dxa"/>
        <w:jc w:val="left"/>
        <w:tblInd w:w="-115.0" w:type="dxa"/>
        <w:tblLayout w:type="fixed"/>
        <w:tblLook w:val="0000"/>
      </w:tblPr>
      <w:tblGrid>
        <w:gridCol w:w="3348"/>
        <w:gridCol w:w="360"/>
        <w:gridCol w:w="3780"/>
        <w:gridCol w:w="360"/>
        <w:gridCol w:w="3240"/>
        <w:gridCol w:w="360"/>
        <w:gridCol w:w="1980"/>
        <w:gridCol w:w="1170"/>
        <w:tblGridChange w:id="0">
          <w:tblGrid>
            <w:gridCol w:w="3348"/>
            <w:gridCol w:w="360"/>
            <w:gridCol w:w="3780"/>
            <w:gridCol w:w="360"/>
            <w:gridCol w:w="3240"/>
            <w:gridCol w:w="360"/>
            <w:gridCol w:w="1980"/>
            <w:gridCol w:w="11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ageBreakBefore w:val="0"/>
              <w:rPr>
                <w:b w:val="1"/>
                <w:sz w:val="22"/>
                <w:szCs w:val="22"/>
              </w:rPr>
            </w:pPr>
            <w:r w:rsidDel="00000000" w:rsidR="00000000" w:rsidRPr="00000000">
              <w:rPr>
                <w:b w:val="1"/>
                <w:sz w:val="22"/>
                <w:szCs w:val="22"/>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sz w:val="22"/>
                <w:szCs w:val="22"/>
              </w:rPr>
            </w:pPr>
            <w:r w:rsidDel="00000000" w:rsidR="00000000" w:rsidRPr="00000000">
              <w:rPr>
                <w:b w:val="1"/>
                <w:sz w:val="22"/>
                <w:szCs w:val="22"/>
                <w:rtl w:val="0"/>
              </w:rPr>
              <w:t xml:space="preserve">Guests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b w:val="1"/>
                <w:sz w:val="22"/>
                <w:szCs w:val="22"/>
              </w:rPr>
            </w:pPr>
            <w:r w:rsidDel="00000000" w:rsidR="00000000" w:rsidRPr="00000000">
              <w:rPr>
                <w:b w:val="1"/>
                <w:sz w:val="22"/>
                <w:szCs w:val="22"/>
                <w:rtl w:val="0"/>
              </w:rPr>
              <w:t xml:space="preserve">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David Chin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Beau Nakamoto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Paul Wessel (sabbatical)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Robert Cowie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sz w:val="22"/>
                <w:szCs w:val="22"/>
              </w:rPr>
            </w:pPr>
            <w:r w:rsidDel="00000000" w:rsidR="00000000" w:rsidRPr="00000000">
              <w:rPr>
                <w:sz w:val="22"/>
                <w:szCs w:val="22"/>
                <w:rtl w:val="0"/>
              </w:rPr>
              <w:t xml:space="preserve">Torben Nielsen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widowControl w:val="0"/>
              <w:jc w:val="both"/>
              <w:rPr>
                <w:sz w:val="22"/>
                <w:szCs w:val="22"/>
              </w:rPr>
            </w:pPr>
            <w:r w:rsidDel="00000000" w:rsidR="00000000" w:rsidRPr="00000000">
              <w:rPr>
                <w:sz w:val="22"/>
                <w:szCs w:val="22"/>
                <w:rtl w:val="0"/>
              </w:rPr>
              <w:t xml:space="preserve">Herbert Ziegler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Sandra Davis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widowControl w:val="0"/>
              <w:jc w:val="both"/>
              <w:rPr>
                <w:sz w:val="22"/>
                <w:szCs w:val="22"/>
              </w:rPr>
            </w:pPr>
            <w:r w:rsidDel="00000000" w:rsidR="00000000" w:rsidRPr="00000000">
              <w:rPr>
                <w:sz w:val="22"/>
                <w:szCs w:val="22"/>
                <w:rtl w:val="0"/>
              </w:rPr>
              <w:t xml:space="preserve">Robert Paull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John Casken (SEC Liaison)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Judith Inazu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James Potemra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Joyce Najita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Doug Vincent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rPr>
                <w:sz w:val="22"/>
                <w:szCs w:val="22"/>
              </w:rPr>
            </w:pPr>
            <w:r w:rsidDel="00000000" w:rsidR="00000000" w:rsidRPr="00000000">
              <w:rPr>
                <w:rtl w:val="0"/>
              </w:rPr>
            </w:r>
          </w:p>
        </w:tc>
      </w:tr>
    </w:tbl>
    <w:p w:rsidR="00000000" w:rsidDel="00000000" w:rsidP="00000000" w:rsidRDefault="00000000" w:rsidRPr="00000000" w14:paraId="0000003B">
      <w:pPr>
        <w:pageBreakBefore w:val="0"/>
        <w:rPr>
          <w:sz w:val="22"/>
          <w:szCs w:val="22"/>
        </w:rPr>
      </w:pPr>
      <w:r w:rsidDel="00000000" w:rsidR="00000000" w:rsidRPr="00000000">
        <w:rPr>
          <w:rtl w:val="0"/>
        </w:rPr>
      </w:r>
    </w:p>
    <w:tbl>
      <w:tblPr>
        <w:tblStyle w:val="Table2"/>
        <w:tblW w:w="145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4800"/>
        <w:gridCol w:w="7470"/>
        <w:tblGridChange w:id="0">
          <w:tblGrid>
            <w:gridCol w:w="2325"/>
            <w:gridCol w:w="4800"/>
            <w:gridCol w:w="7470"/>
          </w:tblGrid>
        </w:tblGridChange>
      </w:tblGrid>
      <w:tr>
        <w:trPr>
          <w:cantSplit w:val="0"/>
          <w:tblHeader w:val="0"/>
        </w:trPr>
        <w:tc>
          <w:tcPr/>
          <w:p w:rsidR="00000000" w:rsidDel="00000000" w:rsidP="00000000" w:rsidRDefault="00000000" w:rsidRPr="00000000" w14:paraId="0000003C">
            <w:pPr>
              <w:pageBreakBefore w:val="0"/>
              <w:jc w:val="center"/>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D">
            <w:pPr>
              <w:pageBreakBefore w:val="0"/>
              <w:jc w:val="center"/>
              <w:rPr>
                <w:b w:val="1"/>
                <w:sz w:val="22"/>
                <w:szCs w:val="22"/>
              </w:rPr>
            </w:pPr>
            <w:r w:rsidDel="00000000" w:rsidR="00000000" w:rsidRPr="00000000">
              <w:rPr>
                <w:b w:val="1"/>
                <w:sz w:val="22"/>
                <w:szCs w:val="22"/>
                <w:rtl w:val="0"/>
              </w:rPr>
              <w:t xml:space="preserve">Discussion/ Information</w:t>
            </w:r>
          </w:p>
        </w:tc>
        <w:tc>
          <w:tcPr/>
          <w:p w:rsidR="00000000" w:rsidDel="00000000" w:rsidP="00000000" w:rsidRDefault="00000000" w:rsidRPr="00000000" w14:paraId="0000003E">
            <w:pPr>
              <w:pageBreakBefore w:val="0"/>
              <w:jc w:val="center"/>
              <w:rPr>
                <w:b w:val="1"/>
                <w:sz w:val="22"/>
                <w:szCs w:val="22"/>
              </w:rPr>
            </w:pPr>
            <w:r w:rsidDel="00000000" w:rsidR="00000000" w:rsidRPr="00000000">
              <w:rPr>
                <w:b w:val="1"/>
                <w:sz w:val="22"/>
                <w:szCs w:val="22"/>
                <w:rtl w:val="0"/>
              </w:rPr>
              <w:t xml:space="preserve">Action/Strategy/Responsible Person/s</w:t>
            </w:r>
          </w:p>
        </w:tc>
      </w:tr>
      <w:tr>
        <w:trPr>
          <w:cantSplit w:val="0"/>
          <w:trHeight w:val="8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40">
            <w:pPr>
              <w:pageBreakBefore w:val="0"/>
              <w:ind w:left="72" w:firstLine="0"/>
              <w:rPr>
                <w:sz w:val="22"/>
                <w:szCs w:val="22"/>
              </w:rPr>
            </w:pPr>
            <w:r w:rsidDel="00000000" w:rsidR="00000000" w:rsidRPr="00000000">
              <w:rPr>
                <w:sz w:val="22"/>
                <w:szCs w:val="22"/>
                <w:rtl w:val="0"/>
              </w:rPr>
              <w:t xml:space="preserve">Doug Vincent started the meeting at 2:36 PM </w:t>
            </w:r>
          </w:p>
        </w:tc>
        <w:tc>
          <w:tcPr/>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STATUS OF REV. FACULTY HOUSING POL.</w:t>
            </w:r>
          </w:p>
        </w:tc>
        <w:tc>
          <w:tcPr/>
          <w:p w:rsidR="00000000" w:rsidDel="00000000" w:rsidP="00000000" w:rsidRDefault="00000000" w:rsidRPr="00000000" w14:paraId="00000043">
            <w:pPr>
              <w:pageBreakBefore w:val="0"/>
              <w:ind w:left="72" w:firstLine="0"/>
              <w:rPr>
                <w:sz w:val="22"/>
                <w:szCs w:val="22"/>
              </w:rPr>
            </w:pPr>
            <w:r w:rsidDel="00000000" w:rsidR="00000000" w:rsidRPr="00000000">
              <w:rPr>
                <w:sz w:val="22"/>
                <w:szCs w:val="22"/>
                <w:rtl w:val="0"/>
              </w:rPr>
              <w:t xml:space="preserve">There was a brief discussion about the status of the revised faculty housing policy.</w:t>
            </w:r>
          </w:p>
        </w:tc>
        <w:tc>
          <w:tcPr/>
          <w:p w:rsidR="00000000" w:rsidDel="00000000" w:rsidP="00000000" w:rsidRDefault="00000000" w:rsidRPr="00000000" w14:paraId="00000044">
            <w:pPr>
              <w:pageBreakBefore w:val="0"/>
              <w:rPr>
                <w:sz w:val="22"/>
                <w:szCs w:val="22"/>
              </w:rPr>
            </w:pPr>
            <w:r w:rsidDel="00000000" w:rsidR="00000000" w:rsidRPr="00000000">
              <w:rPr>
                <w:sz w:val="22"/>
                <w:szCs w:val="22"/>
                <w:rtl w:val="0"/>
              </w:rPr>
              <w:t xml:space="preserve">Doug Vincent will inquire with Kathy Cutshaw.</w:t>
            </w:r>
          </w:p>
        </w:tc>
      </w:tr>
      <w:tr>
        <w:trPr>
          <w:cantSplit w:val="0"/>
          <w:trHeight w:val="1120" w:hRule="atLeast"/>
          <w:tblHeader w:val="0"/>
        </w:trPr>
        <w:tc>
          <w:tcPr/>
          <w:p w:rsidR="00000000" w:rsidDel="00000000" w:rsidP="00000000" w:rsidRDefault="00000000" w:rsidRPr="00000000" w14:paraId="00000045">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6">
            <w:pPr>
              <w:pageBreakBefore w:val="0"/>
              <w:spacing w:after="2.4" w:before="2.4" w:lineRule="auto"/>
              <w:rPr>
                <w:sz w:val="22"/>
                <w:szCs w:val="22"/>
              </w:rPr>
            </w:pPr>
            <w:r w:rsidDel="00000000" w:rsidR="00000000" w:rsidRPr="00000000">
              <w:rPr>
                <w:sz w:val="22"/>
                <w:szCs w:val="22"/>
                <w:rtl w:val="0"/>
              </w:rPr>
              <w:t xml:space="preserve">Motion to approve the minutes from 01/10/2013 meeting was made and passed.</w:t>
            </w:r>
          </w:p>
        </w:tc>
        <w:tc>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8">
            <w:pPr>
              <w:pageBreakBefore w:val="0"/>
              <w:rPr>
                <w:b w:val="1"/>
                <w:sz w:val="22"/>
                <w:szCs w:val="22"/>
              </w:rPr>
            </w:pPr>
            <w:r w:rsidDel="00000000" w:rsidR="00000000" w:rsidRPr="00000000">
              <w:rPr>
                <w:b w:val="1"/>
                <w:sz w:val="22"/>
                <w:szCs w:val="22"/>
                <w:rtl w:val="0"/>
              </w:rPr>
              <w:t xml:space="preserve">UHM BUDGET UPDATE</w:t>
            </w:r>
          </w:p>
        </w:tc>
        <w:tc>
          <w:tcPr/>
          <w:p w:rsidR="00000000" w:rsidDel="00000000" w:rsidP="00000000" w:rsidRDefault="00000000" w:rsidRPr="00000000" w14:paraId="00000049">
            <w:pPr>
              <w:pageBreakBefore w:val="0"/>
              <w:spacing w:after="2.4" w:before="2.4" w:lineRule="auto"/>
              <w:jc w:val="both"/>
              <w:rPr>
                <w:color w:val="000000"/>
                <w:sz w:val="22"/>
                <w:szCs w:val="22"/>
              </w:rPr>
            </w:pPr>
            <w:r w:rsidDel="00000000" w:rsidR="00000000" w:rsidRPr="00000000">
              <w:rPr>
                <w:color w:val="000000"/>
                <w:sz w:val="22"/>
                <w:szCs w:val="22"/>
                <w:rtl w:val="0"/>
              </w:rPr>
              <w:t xml:space="preserve">VCAFO Kathy Cutshaw was scheduled to attend the meeting to provide an update on the UHM budget process but had to cancel due to scheduling conflict.</w:t>
            </w:r>
          </w:p>
        </w:tc>
        <w:tc>
          <w:tcPr/>
          <w:p w:rsidR="00000000" w:rsidDel="00000000" w:rsidP="00000000" w:rsidRDefault="00000000" w:rsidRPr="00000000" w14:paraId="0000004A">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B">
            <w:pPr>
              <w:pageBreakBefore w:val="0"/>
              <w:rPr>
                <w:b w:val="1"/>
                <w:sz w:val="22"/>
                <w:szCs w:val="22"/>
              </w:rPr>
            </w:pPr>
            <w:r w:rsidDel="00000000" w:rsidR="00000000" w:rsidRPr="00000000">
              <w:rPr>
                <w:b w:val="1"/>
                <w:sz w:val="22"/>
                <w:szCs w:val="22"/>
                <w:rtl w:val="0"/>
              </w:rPr>
              <w:t xml:space="preserve">SEARCH FOR VCR AND VPR</w:t>
            </w:r>
          </w:p>
        </w:tc>
        <w:tc>
          <w:tcPr/>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Two search committees have been established for the hiring of a new VCR and VPR.  There has been some concern about the relative lack of researchers on these committees.  Doug received email from Bonnyjean that this particular issue was already being handled.</w:t>
            </w:r>
          </w:p>
        </w:tc>
        <w:tc>
          <w:tcPr/>
          <w:p w:rsidR="00000000" w:rsidDel="00000000" w:rsidP="00000000" w:rsidRDefault="00000000" w:rsidRPr="00000000" w14:paraId="0000004D">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E">
            <w:pPr>
              <w:pageBreakBefore w:val="0"/>
              <w:rPr>
                <w:b w:val="1"/>
                <w:sz w:val="22"/>
                <w:szCs w:val="22"/>
              </w:rPr>
            </w:pPr>
            <w:r w:rsidDel="00000000" w:rsidR="00000000" w:rsidRPr="00000000">
              <w:rPr>
                <w:b w:val="1"/>
                <w:sz w:val="22"/>
                <w:szCs w:val="22"/>
                <w:rtl w:val="0"/>
              </w:rPr>
              <w:t xml:space="preserve">PASSING OF ASSISTANT TO THE VCAA</w:t>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Doug informed CAB of the recent passing of Avis Morigawara, Assistant to the VCAA.  Doug and others had the opportunity to work with Morigawara in the past, and she was commonly held in high regard.  CAB felt it appropriate to acknowledge all of Avis’ contributions and help with faculty-related issues in the past.</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Doug will draft a statement to be sent to the SEC via John in which the CAB acknowledges Avis Morigawara and her contributions so that she and her efforts, and the CAB’s recognition of these, become part of the permanent record.</w:t>
            </w:r>
          </w:p>
        </w:tc>
      </w:tr>
      <w:tr>
        <w:trPr>
          <w:cantSplit w:val="0"/>
          <w:trHeight w:val="460" w:hRule="atLeast"/>
          <w:tblHeader w:val="0"/>
        </w:trPr>
        <w:tc>
          <w:tcPr/>
          <w:p w:rsidR="00000000" w:rsidDel="00000000" w:rsidP="00000000" w:rsidRDefault="00000000" w:rsidRPr="00000000" w14:paraId="00000051">
            <w:pPr>
              <w:pageBreakBefore w:val="0"/>
              <w:rPr>
                <w:b w:val="1"/>
                <w:sz w:val="22"/>
                <w:szCs w:val="22"/>
              </w:rPr>
            </w:pPr>
            <w:r w:rsidDel="00000000" w:rsidR="00000000" w:rsidRPr="00000000">
              <w:rPr>
                <w:b w:val="1"/>
                <w:sz w:val="22"/>
                <w:szCs w:val="22"/>
                <w:rtl w:val="0"/>
              </w:rPr>
              <w:t xml:space="preserve">ADMINISTRATOR SALARIES</w:t>
            </w:r>
          </w:p>
          <w:p w:rsidR="00000000" w:rsidDel="00000000" w:rsidP="00000000" w:rsidRDefault="00000000" w:rsidRPr="00000000" w14:paraId="00000052">
            <w:pPr>
              <w:pageBreakBefore w:val="0"/>
              <w:rPr>
                <w:b w:val="1"/>
                <w:sz w:val="22"/>
                <w:szCs w:val="22"/>
              </w:rPr>
            </w:pPr>
            <w:r w:rsidDel="00000000" w:rsidR="00000000" w:rsidRPr="00000000">
              <w:rPr>
                <w:rtl w:val="0"/>
              </w:rPr>
            </w:r>
          </w:p>
        </w:tc>
        <w:tc>
          <w:tcPr/>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There was a lengthy discussion on administrator salaries and contract terms (e.g., housing allowances, buy-out clauses, etc.) that are at least perceived to be excessive.  It was not clear, however, what CAB could do given the lack of data.  For example, how would one define excessive (perhaps compare to faculty salaries), and how can one determine the effectiveness of an administrator in their position (given job evaluations are not disclosed).</w:t>
            </w:r>
          </w:p>
        </w:tc>
        <w:tc>
          <w:tcPr/>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CAB will consider whether a resolution, which would require hard data, ought to be drafted, or instead draft a statement articulating the perceived excesses and drawing a clear distinction between UH faculty and administration.</w:t>
            </w:r>
          </w:p>
        </w:tc>
      </w:tr>
      <w:tr>
        <w:trPr>
          <w:cantSplit w:val="0"/>
          <w:trHeight w:val="460" w:hRule="atLeast"/>
          <w:tblHeader w:val="0"/>
        </w:trPr>
        <w:tc>
          <w:tcPr/>
          <w:p w:rsidR="00000000" w:rsidDel="00000000" w:rsidP="00000000" w:rsidRDefault="00000000" w:rsidRPr="00000000" w14:paraId="00000055">
            <w:pPr>
              <w:pageBreakBefore w:val="0"/>
              <w:rPr>
                <w:b w:val="1"/>
                <w:sz w:val="22"/>
                <w:szCs w:val="22"/>
              </w:rPr>
            </w:pPr>
            <w:r w:rsidDel="00000000" w:rsidR="00000000" w:rsidRPr="00000000">
              <w:rPr>
                <w:b w:val="1"/>
                <w:sz w:val="22"/>
                <w:szCs w:val="22"/>
                <w:rtl w:val="0"/>
              </w:rPr>
              <w:t xml:space="preserve">ADJOURNMENT</w:t>
            </w:r>
          </w:p>
        </w:tc>
        <w:tc>
          <w:tcPr/>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DV adjourned the meeting at 3:30 PM</w:t>
            </w:r>
          </w:p>
        </w:tc>
        <w:tc>
          <w:tcPr/>
          <w:p w:rsidR="00000000" w:rsidDel="00000000" w:rsidP="00000000" w:rsidRDefault="00000000" w:rsidRPr="00000000" w14:paraId="00000057">
            <w:pPr>
              <w:pageBreakBefore w:val="0"/>
              <w:rPr>
                <w:sz w:val="22"/>
                <w:szCs w:val="22"/>
              </w:rPr>
            </w:pPr>
            <w:r w:rsidDel="00000000" w:rsidR="00000000" w:rsidRPr="00000000">
              <w:rPr>
                <w:rtl w:val="0"/>
              </w:rPr>
            </w:r>
          </w:p>
        </w:tc>
      </w:tr>
    </w:tbl>
    <w:p w:rsidR="00000000" w:rsidDel="00000000" w:rsidP="00000000" w:rsidRDefault="00000000" w:rsidRPr="00000000" w14:paraId="00000058">
      <w:pPr>
        <w:pageBreakBefore w:val="0"/>
        <w:rPr>
          <w:sz w:val="22"/>
          <w:szCs w:val="22"/>
        </w:rPr>
      </w:pPr>
      <w:r w:rsidDel="00000000" w:rsidR="00000000" w:rsidRPr="00000000">
        <w:rPr>
          <w:rtl w:val="0"/>
        </w:rPr>
      </w:r>
    </w:p>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Approved on March 7, 2013 with 6 votes in favor of approval and 0 against. Respectfully submitted by James T. Potemra.</w:t>
      </w:r>
    </w:p>
    <w:sectPr>
      <w:headerReference r:id="rId6" w:type="default"/>
      <w:headerReference r:id="rId7" w:type="first"/>
      <w:headerReference r:id="rId8" w:type="even"/>
      <w:footerReference r:id="rId9" w:type="default"/>
      <w:footerReference r:id="rId10" w:type="first"/>
      <w:footerReference r:id="rId11" w:type="even"/>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