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vertAlign w:val="baseline"/>
          <w:rtl w:val="0"/>
        </w:rPr>
        <w:t xml:space="preserve">May 20, 2013</w:t>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To:</w:t>
        <w:tab/>
        <w:tab/>
        <w:t xml:space="preserve">Manoa Faculty Senate</w:t>
        <w:br w:type="textWrapping"/>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From:</w:t>
        <w:tab/>
        <w:tab/>
        <w:t xml:space="preserve">Douglas L. Vincent, Chair, Committee on Administration and Budget (CAB)</w:t>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vertAlign w:val="baseline"/>
          <w:rtl w:val="0"/>
        </w:rPr>
        <w:t xml:space="preserve">CAB met five (5) times over the Spring Semester 2013, January 10, February 7, March 7, April 4, and April 18, 2013.  The Committee included the following:  David Chin, Robert Cowie, Sandra Davis, Judith Inazu, Joyce Najita, Beau Nakamoto, Torben Nielsen, Robert Paull, Paul Wessel (sabbatical), and James Potemra (for Paul Wessel).  James Potemra served as Secretary, David Chin served as Vice-Chair, and Doug Vincent served as Chair.  John Casken served as the SEC Liaison.  The Chair thanks the Committee, John Casken for serving as the SEC Liaison, David Chin for serving as Vice-Chair, and Secretary Jim Potemra for expertly keeping the minutes. </w:t>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For previous actions and carryover issues, please see the </w:t>
      </w:r>
      <w:hyperlink r:id="rId6">
        <w:r w:rsidDel="00000000" w:rsidR="00000000" w:rsidRPr="00000000">
          <w:rPr>
            <w:color w:val="0000ff"/>
            <w:u w:val="single"/>
            <w:vertAlign w:val="baseline"/>
            <w:rtl w:val="0"/>
          </w:rPr>
          <w:t xml:space="preserve">CAB Fall 2012 Report</w:t>
        </w:r>
      </w:hyperlink>
      <w:r w:rsidDel="00000000" w:rsidR="00000000" w:rsidRPr="00000000">
        <w:rPr>
          <w:vertAlign w:val="baseline"/>
          <w:rtl w:val="0"/>
        </w:rPr>
        <w:t xml:space="preserve">:  </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CAB minutes and agendas for the 2012-2013 Academic Year are </w:t>
      </w:r>
      <w:hyperlink r:id="rId7">
        <w:r w:rsidDel="00000000" w:rsidR="00000000" w:rsidRPr="00000000">
          <w:rPr>
            <w:color w:val="0000ff"/>
            <w:u w:val="single"/>
            <w:vertAlign w:val="baseline"/>
            <w:rtl w:val="0"/>
          </w:rPr>
          <w:t xml:space="preserve">here</w:t>
        </w:r>
      </w:hyperlink>
      <w:r w:rsidDel="00000000" w:rsidR="00000000" w:rsidRPr="00000000">
        <w:rPr>
          <w:vertAlign w:val="baseline"/>
          <w:rtl w:val="0"/>
        </w:rPr>
        <w:t xml:space="preserve">.</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b w:val="0"/>
          <w:color w:val="000000"/>
          <w:vertAlign w:val="baseline"/>
        </w:rPr>
      </w:pPr>
      <w:r w:rsidDel="00000000" w:rsidR="00000000" w:rsidRPr="00000000">
        <w:rPr>
          <w:b w:val="1"/>
          <w:color w:val="000000"/>
          <w:vertAlign w:val="baseline"/>
          <w:rtl w:val="0"/>
        </w:rPr>
        <w:t xml:space="preserve">Completed Issues</w:t>
        <w:br w:type="textWrapping"/>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pPr>
      <w:hyperlink r:id="rId8">
        <w:r w:rsidDel="00000000" w:rsidR="00000000" w:rsidRPr="00000000">
          <w:rPr>
            <w:color w:val="0000ff"/>
            <w:u w:val="single"/>
            <w:vertAlign w:val="baseline"/>
            <w:rtl w:val="0"/>
          </w:rPr>
          <w:t xml:space="preserve">#12-12</w:t>
        </w:r>
      </w:hyperlink>
      <w:r w:rsidDel="00000000" w:rsidR="00000000" w:rsidRPr="00000000">
        <w:rPr>
          <w:vertAlign w:val="baseline"/>
          <w:rtl w:val="0"/>
        </w:rPr>
        <w:t xml:space="preserve"> Faculty Housing – CAB worked with VCAFO Cutshaw to provide input on the final revised housing policy.  The policy is to be submitted for approval to the President and the BOR.</w:t>
        <w:br w:type="textWrapping"/>
      </w:r>
    </w:p>
    <w:p w:rsidR="00000000" w:rsidDel="00000000" w:rsidP="00000000" w:rsidRDefault="00000000" w:rsidRPr="00000000" w14:paraId="0000000F">
      <w:pPr>
        <w:pageBreakBefore w:val="0"/>
        <w:ind w:left="720" w:firstLine="0"/>
        <w:rPr>
          <w:vertAlign w:val="baseline"/>
        </w:rPr>
      </w:pPr>
      <w:r w:rsidDel="00000000" w:rsidR="00000000" w:rsidRPr="00000000">
        <w:rPr>
          <w:vertAlign w:val="baseline"/>
          <w:rtl w:val="0"/>
        </w:rPr>
        <w:t xml:space="preserve">Chancellor Tom Apple spoke at the March 20, 2013 Faculty Senate Meeting about the proposed Faculty Housing Policy.  At the April 17, 2013 Faculty Senate Meeting, a motion on the </w:t>
      </w:r>
      <w:hyperlink r:id="rId9">
        <w:r w:rsidDel="00000000" w:rsidR="00000000" w:rsidRPr="00000000">
          <w:rPr>
            <w:color w:val="0000ff"/>
            <w:u w:val="single"/>
            <w:vertAlign w:val="baseline"/>
            <w:rtl w:val="0"/>
          </w:rPr>
          <w:t xml:space="preserve">Proposed Executive Policy on University Housing Assistance Program</w:t>
        </w:r>
      </w:hyperlink>
      <w:r w:rsidDel="00000000" w:rsidR="00000000" w:rsidRPr="00000000">
        <w:rPr>
          <w:vertAlign w:val="baseline"/>
          <w:rtl w:val="0"/>
        </w:rPr>
        <w:t xml:space="preserve"> was proposed.  The </w:t>
      </w:r>
      <w:hyperlink r:id="rId10">
        <w:r w:rsidDel="00000000" w:rsidR="00000000" w:rsidRPr="00000000">
          <w:rPr>
            <w:color w:val="0000ff"/>
            <w:u w:val="single"/>
            <w:vertAlign w:val="baseline"/>
            <w:rtl w:val="0"/>
          </w:rPr>
          <w:t xml:space="preserve">motion</w:t>
        </w:r>
      </w:hyperlink>
      <w:r w:rsidDel="00000000" w:rsidR="00000000" w:rsidRPr="00000000">
        <w:rPr>
          <w:vertAlign w:val="baseline"/>
          <w:rtl w:val="0"/>
        </w:rPr>
        <w:t xml:space="preserve"> was passed 44 in favor and 5 opposed.  The proposed policy, </w:t>
      </w:r>
      <w:hyperlink r:id="rId11">
        <w:r w:rsidDel="00000000" w:rsidR="00000000" w:rsidRPr="00000000">
          <w:rPr>
            <w:color w:val="0000ff"/>
            <w:u w:val="single"/>
            <w:vertAlign w:val="baseline"/>
            <w:rtl w:val="0"/>
          </w:rPr>
          <w:t xml:space="preserve">E5.229 University Housing Assistance Program</w:t>
        </w:r>
      </w:hyperlink>
      <w:r w:rsidDel="00000000" w:rsidR="00000000" w:rsidRPr="00000000">
        <w:rPr>
          <w:vertAlign w:val="baseline"/>
          <w:rtl w:val="0"/>
        </w:rPr>
        <w:t xml:space="preserve">, as of this writing, has not yet been proposed to the Board of Regents.</w:t>
      </w:r>
    </w:p>
    <w:p w:rsidR="00000000" w:rsidDel="00000000" w:rsidP="00000000" w:rsidRDefault="00000000" w:rsidRPr="00000000" w14:paraId="00000010">
      <w:pPr>
        <w:pageBreakBefore w:val="0"/>
        <w:numPr>
          <w:ilvl w:val="0"/>
          <w:numId w:val="1"/>
        </w:numPr>
        <w:spacing w:after="0" w:before="280" w:lineRule="auto"/>
        <w:ind w:left="720" w:hanging="360"/>
        <w:rPr>
          <w:color w:val="000000"/>
        </w:rPr>
      </w:pPr>
      <w:bookmarkStart w:colFirst="0" w:colLast="0" w:name="_gjdgxs" w:id="0"/>
      <w:bookmarkEnd w:id="0"/>
      <w:hyperlink r:id="rId12">
        <w:r w:rsidDel="00000000" w:rsidR="00000000" w:rsidRPr="00000000">
          <w:rPr>
            <w:color w:val="0000ff"/>
            <w:u w:val="single"/>
            <w:vertAlign w:val="baseline"/>
            <w:rtl w:val="0"/>
          </w:rPr>
          <w:t xml:space="preserve">#37-13</w:t>
        </w:r>
      </w:hyperlink>
      <w:r w:rsidDel="00000000" w:rsidR="00000000" w:rsidRPr="00000000">
        <w:rPr>
          <w:color w:val="000000"/>
          <w:vertAlign w:val="baseline"/>
          <w:rtl w:val="0"/>
        </w:rPr>
        <w:t xml:space="preserve"> JABSOM Reorganization -- CAB received a referral to address the proposed reorganization of the </w:t>
      </w:r>
      <w:hyperlink r:id="rId13">
        <w:r w:rsidDel="00000000" w:rsidR="00000000" w:rsidRPr="00000000">
          <w:rPr>
            <w:color w:val="0000ff"/>
            <w:u w:val="single"/>
            <w:vertAlign w:val="baseline"/>
            <w:rtl w:val="0"/>
          </w:rPr>
          <w:t xml:space="preserve">Office of Facilities Management &amp; Planning at the John A. Burns School of Medicine</w:t>
        </w:r>
      </w:hyperlink>
      <w:r w:rsidDel="00000000" w:rsidR="00000000" w:rsidRPr="00000000">
        <w:rPr>
          <w:color w:val="000000"/>
          <w:vertAlign w:val="baseline"/>
          <w:rtl w:val="0"/>
        </w:rPr>
        <w:t xml:space="preserve"> on March 18, 2013.  Stakeholder input was sought from among JABSOM Senators.  A </w:t>
      </w:r>
      <w:hyperlink r:id="rId14">
        <w:r w:rsidDel="00000000" w:rsidR="00000000" w:rsidRPr="00000000">
          <w:rPr>
            <w:color w:val="0000ff"/>
            <w:u w:val="single"/>
            <w:vertAlign w:val="baseline"/>
            <w:rtl w:val="0"/>
          </w:rPr>
          <w:t xml:space="preserve">motion endorsing the reorganization</w:t>
        </w:r>
      </w:hyperlink>
      <w:r w:rsidDel="00000000" w:rsidR="00000000" w:rsidRPr="00000000">
        <w:rPr>
          <w:color w:val="000000"/>
          <w:vertAlign w:val="baseline"/>
          <w:rtl w:val="0"/>
        </w:rPr>
        <w:t xml:space="preserve"> was placed before the Manoa Faculty Senate at the April 17, 2013 Faculty Senate meeting and </w:t>
      </w:r>
      <w:hyperlink r:id="rId15">
        <w:r w:rsidDel="00000000" w:rsidR="00000000" w:rsidRPr="00000000">
          <w:rPr>
            <w:color w:val="0000ff"/>
            <w:u w:val="single"/>
            <w:vertAlign w:val="baseline"/>
            <w:rtl w:val="0"/>
          </w:rPr>
          <w:t xml:space="preserve">passed 52 votes in favor and 0 opposed</w:t>
        </w:r>
      </w:hyperlink>
      <w:r w:rsidDel="00000000" w:rsidR="00000000" w:rsidRPr="00000000">
        <w:rPr>
          <w:color w:val="000000"/>
          <w:vertAlign w:val="baseline"/>
          <w:rtl w:val="0"/>
        </w:rPr>
        <w:t xml:space="preserve">.</w:t>
        <w:br w:type="textWrapping"/>
      </w:r>
    </w:p>
    <w:p w:rsidR="00000000" w:rsidDel="00000000" w:rsidP="00000000" w:rsidRDefault="00000000" w:rsidRPr="00000000" w14:paraId="00000011">
      <w:pPr>
        <w:pageBreakBefore w:val="0"/>
        <w:numPr>
          <w:ilvl w:val="0"/>
          <w:numId w:val="1"/>
        </w:numPr>
        <w:spacing w:after="0" w:before="0" w:lineRule="auto"/>
        <w:ind w:left="720" w:hanging="360"/>
        <w:rPr>
          <w:color w:val="000000"/>
        </w:rPr>
      </w:pPr>
      <w:r w:rsidDel="00000000" w:rsidR="00000000" w:rsidRPr="00000000">
        <w:rPr>
          <w:color w:val="000000"/>
          <w:vertAlign w:val="baseline"/>
          <w:rtl w:val="0"/>
        </w:rPr>
        <w:t xml:space="preserve">At the February 20, 2013 Faculty Senate Meeting, CAB proposed a </w:t>
      </w:r>
      <w:hyperlink r:id="rId16">
        <w:r w:rsidDel="00000000" w:rsidR="00000000" w:rsidRPr="00000000">
          <w:rPr>
            <w:color w:val="0000ff"/>
            <w:u w:val="single"/>
            <w:vertAlign w:val="baseline"/>
            <w:rtl w:val="0"/>
          </w:rPr>
          <w:t xml:space="preserve">Resolution Honoring the Memory of Avis Morigawara</w:t>
        </w:r>
      </w:hyperlink>
      <w:r w:rsidDel="00000000" w:rsidR="00000000" w:rsidRPr="00000000">
        <w:rPr>
          <w:color w:val="000000"/>
          <w:vertAlign w:val="baseline"/>
          <w:rtl w:val="0"/>
        </w:rPr>
        <w:t xml:space="preserve">.  The Resolution passed 52 votes in favor and 1 opposed.  A memorial tribute for Avis was held on Tuesday, February 26, 2013 at 4:00 pm.  Chair Doug Vincent read the resolution at the memorial service.</w:t>
        <w:br w:type="textWrapping"/>
        <w:br w:type="textWrapping"/>
      </w:r>
    </w:p>
    <w:p w:rsidR="00000000" w:rsidDel="00000000" w:rsidP="00000000" w:rsidRDefault="00000000" w:rsidRPr="00000000" w14:paraId="00000012">
      <w:pPr>
        <w:pageBreakBefore w:val="0"/>
        <w:numPr>
          <w:ilvl w:val="0"/>
          <w:numId w:val="1"/>
        </w:numPr>
        <w:spacing w:after="0" w:before="0" w:lineRule="auto"/>
        <w:ind w:left="720" w:hanging="360"/>
        <w:rPr>
          <w:color w:val="000000"/>
        </w:rPr>
      </w:pPr>
      <w:hyperlink r:id="rId17">
        <w:r w:rsidDel="00000000" w:rsidR="00000000" w:rsidRPr="00000000">
          <w:rPr>
            <w:color w:val="0000ff"/>
            <w:u w:val="single"/>
            <w:vertAlign w:val="baseline"/>
            <w:rtl w:val="0"/>
          </w:rPr>
          <w:t xml:space="preserve">#32-13</w:t>
        </w:r>
      </w:hyperlink>
      <w:r w:rsidDel="00000000" w:rsidR="00000000" w:rsidRPr="00000000">
        <w:rPr>
          <w:color w:val="000000"/>
          <w:vertAlign w:val="baseline"/>
          <w:rtl w:val="0"/>
        </w:rPr>
        <w:t xml:space="preserve">--Graduate and Professional Education Reorganization.  CAB received a referral in November 11, 2012 for the </w:t>
      </w:r>
      <w:hyperlink r:id="rId18">
        <w:r w:rsidDel="00000000" w:rsidR="00000000" w:rsidRPr="00000000">
          <w:rPr>
            <w:color w:val="0000ff"/>
            <w:u w:val="single"/>
            <w:vertAlign w:val="baseline"/>
            <w:rtl w:val="0"/>
          </w:rPr>
          <w:t xml:space="preserve">proposal to move the Graduate Division</w:t>
        </w:r>
      </w:hyperlink>
      <w:r w:rsidDel="00000000" w:rsidR="00000000" w:rsidRPr="00000000">
        <w:rPr>
          <w:color w:val="000000"/>
          <w:vertAlign w:val="baseline"/>
          <w:rtl w:val="0"/>
        </w:rPr>
        <w:t xml:space="preserve"> from the Office of the Vice Chancellor for Research and Graduate Education to the Office of Vice Chancellor for Academic Affairs.  The compelling case for the reorganization in the initial proposal was poorly made.  Following discussions with the VCAA’s office, the proposal was revised. The revised version was received in January 2013.  CAB solicited feedback from Graduate Chairs via Survey Monkey.  The results were incorporated into the </w:t>
      </w:r>
      <w:hyperlink r:id="rId19">
        <w:r w:rsidDel="00000000" w:rsidR="00000000" w:rsidRPr="00000000">
          <w:rPr>
            <w:color w:val="0000ff"/>
            <w:u w:val="single"/>
            <w:vertAlign w:val="baseline"/>
            <w:rtl w:val="0"/>
          </w:rPr>
          <w:t xml:space="preserve">reorganization checklist</w:t>
        </w:r>
      </w:hyperlink>
      <w:r w:rsidDel="00000000" w:rsidR="00000000" w:rsidRPr="00000000">
        <w:rPr>
          <w:color w:val="000000"/>
          <w:vertAlign w:val="baseline"/>
          <w:rtl w:val="0"/>
        </w:rPr>
        <w:t xml:space="preserve">.  Upon completion of the survey and with discussion with Interim VC Taylor and VC Dasenbrock, a </w:t>
      </w:r>
      <w:hyperlink r:id="rId20">
        <w:r w:rsidDel="00000000" w:rsidR="00000000" w:rsidRPr="00000000">
          <w:rPr>
            <w:color w:val="0000ff"/>
            <w:u w:val="single"/>
            <w:vertAlign w:val="baseline"/>
            <w:rtl w:val="0"/>
          </w:rPr>
          <w:t xml:space="preserve">motion for endorsement</w:t>
        </w:r>
      </w:hyperlink>
      <w:r w:rsidDel="00000000" w:rsidR="00000000" w:rsidRPr="00000000">
        <w:rPr>
          <w:color w:val="000000"/>
          <w:vertAlign w:val="baseline"/>
          <w:rtl w:val="0"/>
        </w:rPr>
        <w:t xml:space="preserve"> of the reorganization was submitted to the Senate for consideration.  The </w:t>
      </w:r>
      <w:hyperlink r:id="rId21">
        <w:r w:rsidDel="00000000" w:rsidR="00000000" w:rsidRPr="00000000">
          <w:rPr>
            <w:color w:val="0000ff"/>
            <w:u w:val="single"/>
            <w:vertAlign w:val="baseline"/>
            <w:rtl w:val="0"/>
          </w:rPr>
          <w:t xml:space="preserve">motion</w:t>
        </w:r>
      </w:hyperlink>
      <w:r w:rsidDel="00000000" w:rsidR="00000000" w:rsidRPr="00000000">
        <w:rPr>
          <w:color w:val="000000"/>
          <w:vertAlign w:val="baseline"/>
          <w:rtl w:val="0"/>
        </w:rPr>
        <w:t xml:space="preserve"> passed 33 in favor and 8 opposed at the January 16, 2013 Manoa Faculty Senate Meeting.</w:t>
        <w:br w:type="textWrapping"/>
      </w:r>
    </w:p>
    <w:p w:rsidR="00000000" w:rsidDel="00000000" w:rsidP="00000000" w:rsidRDefault="00000000" w:rsidRPr="00000000" w14:paraId="00000013">
      <w:pPr>
        <w:pageBreakBefore w:val="0"/>
        <w:numPr>
          <w:ilvl w:val="0"/>
          <w:numId w:val="1"/>
        </w:numPr>
        <w:spacing w:after="280" w:before="0" w:lineRule="auto"/>
        <w:ind w:left="720" w:hanging="360"/>
        <w:rPr>
          <w:color w:val="000000"/>
        </w:rPr>
      </w:pPr>
      <w:hyperlink r:id="rId22">
        <w:r w:rsidDel="00000000" w:rsidR="00000000" w:rsidRPr="00000000">
          <w:rPr>
            <w:color w:val="0000ff"/>
            <w:u w:val="single"/>
            <w:vertAlign w:val="baseline"/>
            <w:rtl w:val="0"/>
          </w:rPr>
          <w:t xml:space="preserve">#36-12</w:t>
        </w:r>
      </w:hyperlink>
      <w:r w:rsidDel="00000000" w:rsidR="00000000" w:rsidRPr="00000000">
        <w:rPr>
          <w:color w:val="000000"/>
          <w:vertAlign w:val="baseline"/>
          <w:rtl w:val="0"/>
        </w:rPr>
        <w:t xml:space="preserve">—Evaluation of Administration/Administrators.  This was a joint effort between the Committee on Professional Matters (CPM) and CAB.  CAB and members of CPM met jointly at the January 10, 2013 CAB meeting, to discuss next steps.  CPM had studied the issue and reported to CAB on the progress thus far.  A </w:t>
      </w:r>
      <w:hyperlink r:id="rId23">
        <w:r w:rsidDel="00000000" w:rsidR="00000000" w:rsidRPr="00000000">
          <w:rPr>
            <w:color w:val="0000ff"/>
            <w:u w:val="single"/>
            <w:vertAlign w:val="baseline"/>
            <w:rtl w:val="0"/>
          </w:rPr>
          <w:t xml:space="preserve">motion</w:t>
        </w:r>
      </w:hyperlink>
      <w:r w:rsidDel="00000000" w:rsidR="00000000" w:rsidRPr="00000000">
        <w:rPr>
          <w:color w:val="000000"/>
          <w:vertAlign w:val="baseline"/>
          <w:rtl w:val="0"/>
        </w:rPr>
        <w:t xml:space="preserve"> was developed jointly and approved by both committees to be brought to the Faculty Senate.  At the January 16, 2013 Senate meeting, the </w:t>
      </w:r>
      <w:hyperlink r:id="rId24">
        <w:r w:rsidDel="00000000" w:rsidR="00000000" w:rsidRPr="00000000">
          <w:rPr>
            <w:color w:val="0000ff"/>
            <w:u w:val="single"/>
            <w:vertAlign w:val="baseline"/>
            <w:rtl w:val="0"/>
          </w:rPr>
          <w:t xml:space="preserve">motion</w:t>
        </w:r>
      </w:hyperlink>
      <w:r w:rsidDel="00000000" w:rsidR="00000000" w:rsidRPr="00000000">
        <w:rPr>
          <w:color w:val="000000"/>
          <w:vertAlign w:val="baseline"/>
          <w:rtl w:val="0"/>
        </w:rPr>
        <w:t xml:space="preserve"> passed 41 in favor, and 0 opposed.</w:t>
      </w:r>
    </w:p>
    <w:p w:rsidR="00000000" w:rsidDel="00000000" w:rsidP="00000000" w:rsidRDefault="00000000" w:rsidRPr="00000000" w14:paraId="00000014">
      <w:pPr>
        <w:pageBreakBefore w:val="0"/>
        <w:spacing w:after="100" w:before="0" w:lineRule="auto"/>
        <w:rPr>
          <w:color w:val="000000"/>
          <w:vertAlign w:val="baseline"/>
        </w:r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Mānoa Faculty Senate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2500 Campus Road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Hawaiʻi</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color w:val="000000"/>
        <w:sz w:val="22"/>
        <w:szCs w:val="22"/>
        <w:vertAlign w:val="baseline"/>
        <w:rtl w:val="0"/>
      </w:rPr>
      <w:t xml:space="preserve">Hall 208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Honolulu, HI 96822</w:t>
    </w:r>
  </w:p>
  <w:p w:rsidR="00000000" w:rsidDel="00000000" w:rsidP="00000000" w:rsidRDefault="00000000" w:rsidRPr="00000000" w14:paraId="00000019">
    <w:pPr>
      <w:pageBreakBefore w:val="0"/>
      <w:spacing w:after="72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Ph: (808) 956-7725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Fx: (808) 956-9813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w:t>
    </w:r>
    <w:r w:rsidDel="00000000" w:rsidR="00000000" w:rsidRPr="00000000">
      <w:rPr>
        <w:rFonts w:ascii="Times New Roman" w:cs="Times New Roman" w:eastAsia="Times New Roman" w:hAnsi="Times New Roman"/>
        <w:i w:val="1"/>
        <w:color w:val="000000"/>
        <w:sz w:val="22"/>
        <w:szCs w:val="22"/>
        <w:vertAlign w:val="baseline"/>
        <w:rtl w:val="0"/>
      </w:rPr>
      <w:t xml:space="preserve">uhmfs@hawaii.edu</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1"/>
      <w:tblW w:w="9590.0" w:type="dxa"/>
      <w:jc w:val="left"/>
      <w:tblInd w:w="-115.0" w:type="dxa"/>
      <w:tblBorders>
        <w:top w:color="000000" w:space="0" w:sz="0" w:val="nil"/>
        <w:left w:color="000000" w:space="0" w:sz="0" w:val="nil"/>
        <w:bottom w:color="bfbfbf" w:space="0" w:sz="4" w:val="single"/>
        <w:right w:color="000000" w:space="0" w:sz="0" w:val="nil"/>
        <w:insideH w:color="000000" w:space="0" w:sz="0" w:val="nil"/>
        <w:insideV w:color="000000" w:space="0" w:sz="0" w:val="nil"/>
      </w:tblBorders>
      <w:tblLayout w:type="fixed"/>
      <w:tblLook w:val="0000"/>
    </w:tblPr>
    <w:tblGrid>
      <w:gridCol w:w="386"/>
      <w:gridCol w:w="9204"/>
      <w:tblGridChange w:id="0">
        <w:tblGrid>
          <w:gridCol w:w="386"/>
          <w:gridCol w:w="9204"/>
        </w:tblGrid>
      </w:tblGridChange>
    </w:tblGrid>
    <w:tr>
      <w:trPr>
        <w:cantSplit w:val="0"/>
        <w:tblHeader w:val="0"/>
      </w:trPr>
      <w:tc>
        <w:tcPr>
          <w:tcBorders>
            <w:bottom w:color="000000" w:space="0" w:sz="0" w:val="nil"/>
            <w:right w:color="bfbfbf" w:space="0" w:sz="4" w:val="single"/>
          </w:tcBorders>
          <w:vAlign w:val="top"/>
        </w:tcPr>
        <w:p w:rsidR="00000000" w:rsidDel="00000000" w:rsidP="00000000" w:rsidRDefault="00000000" w:rsidRPr="00000000" w14:paraId="0000001E">
          <w:pPr>
            <w:pageBreakBefore w:val="0"/>
            <w:jc w:val="right"/>
            <w:rPr>
              <w:rFonts w:ascii="Calibri" w:cs="Calibri" w:eastAsia="Calibri" w:hAnsi="Calibri"/>
              <w:b w:val="0"/>
              <w:color w:val="595959"/>
              <w:vertAlign w:val="baseline"/>
            </w:rPr>
          </w:pPr>
          <w:r w:rsidDel="00000000" w:rsidR="00000000" w:rsidRPr="00000000">
            <w:rPr>
              <w:rtl w:val="0"/>
            </w:rPr>
          </w:r>
        </w:p>
      </w:tc>
      <w:tc>
        <w:tcPr>
          <w:tcBorders>
            <w:left w:color="bfbfbf" w:space="0" w:sz="4" w:val="single"/>
            <w:bottom w:color="000000" w:space="0" w:sz="0" w:val="nil"/>
          </w:tcBorders>
          <w:vAlign w:val="top"/>
        </w:tcPr>
        <w:p w:rsidR="00000000" w:rsidDel="00000000" w:rsidP="00000000" w:rsidRDefault="00000000" w:rsidRPr="00000000" w14:paraId="0000001F">
          <w:pPr>
            <w:pageBreakBefore w:val="0"/>
            <w:rPr>
              <w:rFonts w:ascii="Calibri" w:cs="Calibri" w:eastAsia="Calibri" w:hAnsi="Calibri"/>
              <w:color w:val="595959"/>
              <w:vertAlign w:val="baseline"/>
            </w:rPr>
          </w:pPr>
          <w:r w:rsidDel="00000000" w:rsidR="00000000" w:rsidRPr="00000000">
            <w:rPr>
              <w:rFonts w:ascii="Calibri" w:cs="Calibri" w:eastAsia="Calibri" w:hAnsi="Calibri"/>
              <w:b w:val="1"/>
              <w:smallCaps w:val="1"/>
              <w:color w:val="595959"/>
              <w:vertAlign w:val="baseline"/>
              <w:rtl w:val="0"/>
            </w:rPr>
            <w:t xml:space="preserve">CAB 2013 SPRING SEMESTER REPORT</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spacing w:before="720" w:lineRule="auto"/>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3543300" cy="5715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3543300" cy="5715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5715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hawaii.edu/uhmfs/documents/2012_13/20120110_motion_reorg_graddivision.pdf" TargetMode="External"/><Relationship Id="rId22" Type="http://schemas.openxmlformats.org/officeDocument/2006/relationships/hyperlink" Target="http://www.hawaii.edu/uhmfs/issues/2012_13.html" TargetMode="External"/><Relationship Id="rId21" Type="http://schemas.openxmlformats.org/officeDocument/2006/relationships/hyperlink" Target="http://www.hawaii.edu/uhmfs/documents/2012_13/20130116_motion_reorggradprofed.html" TargetMode="External"/><Relationship Id="rId24" Type="http://schemas.openxmlformats.org/officeDocument/2006/relationships/hyperlink" Target="http://www.hawaii.edu/uhmfs/documents/2012_13/20130116_motion_adminassessment.html" TargetMode="External"/><Relationship Id="rId23" Type="http://schemas.openxmlformats.org/officeDocument/2006/relationships/hyperlink" Target="http://www.hawaii.edu/uhmfs/documents/2012_13/20130114_motion_administratorevalu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2_13/20130417_transmittal_housingassistanceprogram.pdf"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hawaii.edu/uhmfs/minutes/2012_13/cab_report_2012Fall.pdf" TargetMode="External"/><Relationship Id="rId29" Type="http://schemas.openxmlformats.org/officeDocument/2006/relationships/footer" Target="footer2.xml"/><Relationship Id="rId7" Type="http://schemas.openxmlformats.org/officeDocument/2006/relationships/hyperlink" Target="http://www.hawaii.edu/uhmfs/minutes/2012_13/index.html#cab" TargetMode="External"/><Relationship Id="rId8" Type="http://schemas.openxmlformats.org/officeDocument/2006/relationships/hyperlink" Target="http://www.hawaii.edu/uhmfs/issues/2012_13.html#issue12.12" TargetMode="External"/><Relationship Id="rId30" Type="http://schemas.openxmlformats.org/officeDocument/2006/relationships/footer" Target="footer3.xml"/><Relationship Id="rId11" Type="http://schemas.openxmlformats.org/officeDocument/2006/relationships/hyperlink" Target="http://www.hawaii.edu/uhmfs/issues/requests/2012_13/20130417_doc_universityhousingassistanceprogram.pdf" TargetMode="External"/><Relationship Id="rId10" Type="http://schemas.openxmlformats.org/officeDocument/2006/relationships/hyperlink" Target="http://www.hawaii.edu/uhmfs/documents/2012_13/20130417_motion_housingassistanceprogram.html" TargetMode="External"/><Relationship Id="rId13" Type="http://schemas.openxmlformats.org/officeDocument/2006/relationships/hyperlink" Target="http://manoa.hawaii.edu/ovcafo/neworg_charts/JABSOM/JABSOMFinal050913.pdf" TargetMode="External"/><Relationship Id="rId12" Type="http://schemas.openxmlformats.org/officeDocument/2006/relationships/hyperlink" Target="http://www.hawaii.edu/uhmfs/issues/2012_13.html#issue37.13" TargetMode="External"/><Relationship Id="rId15" Type="http://schemas.openxmlformats.org/officeDocument/2006/relationships/hyperlink" Target="http://www.hawaii.edu/uhmfs/documents/2012_13/20130417_motion_jabsomreorg.html" TargetMode="External"/><Relationship Id="rId14" Type="http://schemas.openxmlformats.org/officeDocument/2006/relationships/hyperlink" Target="http://www.hawaii.edu/uhmfs/documents/2012_13/20130417_transmittal_jabsomreorg.pdf" TargetMode="External"/><Relationship Id="rId17" Type="http://schemas.openxmlformats.org/officeDocument/2006/relationships/hyperlink" Target="http://www.hawaii.edu/uhmfs/issues/2012_13.html#issue32.13" TargetMode="External"/><Relationship Id="rId16" Type="http://schemas.openxmlformats.org/officeDocument/2006/relationships/hyperlink" Target="http://www.hawaii.edu/uhmfs/documents/2012_13/20130220_reso_avismorigawara.pdf" TargetMode="External"/><Relationship Id="rId19" Type="http://schemas.openxmlformats.org/officeDocument/2006/relationships/hyperlink" Target="http://www.hawaii.edu/uhmfs/documents/2012_13/20120110_checklist_reorg_graddivision.pdf" TargetMode="External"/><Relationship Id="rId18" Type="http://schemas.openxmlformats.org/officeDocument/2006/relationships/hyperlink" Target="http://manoa.hawaii.edu/ovcafo/neworg_charts/GradEdFullProposal11-13-1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