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18 Oct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309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890"/>
        <w:gridCol w:w="1350"/>
        <w:tblGridChange w:id="0">
          <w:tblGrid>
            <w:gridCol w:w="2088"/>
            <w:gridCol w:w="360"/>
            <w:gridCol w:w="2250"/>
            <w:gridCol w:w="360"/>
            <w:gridCol w:w="2070"/>
            <w:gridCol w:w="360"/>
            <w:gridCol w:w="1890"/>
            <w:gridCol w:w="135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SZUSTER, Brian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Chin called the meeting to order at 9:35.</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CHANGE TO SENATE BYLAWS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After discussion, it was decided to form a subcommittee to address the proposed changes to the Senate charter and bylaws.  It was generally felt that these changes could be broadly divided into three part: 1) the changes as summarized by B. Manini and recommend accepting or revising; 2) suggested changes to the timing of elections; and 3) the process of assignment of senators to subcommittees.  The CAB subcommittee to advise on these three topics includes A. Sakaguchi, R. Paull, T. Conway, B. Manini and D. Boulos.</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CAB subcommittee to review the Senate bylaws will meet via email during the next few weeks and draft a response indicating acceptance/revision of proposed changes, timing of elections and selection to subcommittees.</w:t>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OUTSTANDING ISSUES BEFORE CAB</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sz w:val="22"/>
                <w:szCs w:val="22"/>
                <w:rtl w:val="0"/>
              </w:rPr>
              <w:t xml:space="preserve">The outstanding issues from last year were discussed.  These include:</w:t>
            </w:r>
          </w:p>
          <w:p w:rsidR="00000000" w:rsidDel="00000000" w:rsidP="00000000" w:rsidRDefault="00000000" w:rsidRPr="00000000" w14:paraId="00000045">
            <w:pPr>
              <w:pageBreakBefore w:val="0"/>
              <w:spacing w:after="2.4" w:before="2.4" w:lineRule="auto"/>
              <w:rPr>
                <w:color w:val="000000"/>
                <w:sz w:val="22"/>
                <w:szCs w:val="22"/>
              </w:rPr>
            </w:pPr>
            <w:r w:rsidDel="00000000" w:rsidR="00000000" w:rsidRPr="00000000">
              <w:rPr>
                <w:color w:val="000000"/>
                <w:sz w:val="22"/>
                <w:szCs w:val="22"/>
                <w:rtl w:val="0"/>
              </w:rPr>
              <w:t xml:space="preserve">1.13 Faculty input in budget process  </w:t>
            </w:r>
          </w:p>
          <w:p w:rsidR="00000000" w:rsidDel="00000000" w:rsidP="00000000" w:rsidRDefault="00000000" w:rsidRPr="00000000" w14:paraId="00000046">
            <w:pPr>
              <w:pageBreakBefore w:val="0"/>
              <w:spacing w:after="2.4" w:before="2.4" w:lineRule="auto"/>
              <w:rPr>
                <w:color w:val="000000"/>
                <w:sz w:val="22"/>
                <w:szCs w:val="22"/>
              </w:rPr>
            </w:pPr>
            <w:r w:rsidDel="00000000" w:rsidR="00000000" w:rsidRPr="00000000">
              <w:rPr>
                <w:color w:val="000000"/>
                <w:sz w:val="22"/>
                <w:szCs w:val="22"/>
                <w:rtl w:val="0"/>
              </w:rPr>
              <w:t xml:space="preserve">2.14 Reorg of OVCS</w:t>
            </w:r>
          </w:p>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3.13 Disproportional increase in admin and staff salary</w:t>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color w:val="000000"/>
                <w:sz w:val="22"/>
                <w:szCs w:val="22"/>
                <w:rtl w:val="0"/>
              </w:rPr>
              <w:t xml:space="preserve">4.13 Faculty voice in admin search process</w:t>
            </w:r>
          </w:p>
          <w:p w:rsidR="00000000" w:rsidDel="00000000" w:rsidP="00000000" w:rsidRDefault="00000000" w:rsidRPr="00000000" w14:paraId="00000049">
            <w:pPr>
              <w:pageBreakBefore w:val="0"/>
              <w:spacing w:after="2.4" w:before="2.4" w:lineRule="auto"/>
              <w:rPr>
                <w:color w:val="000000"/>
                <w:sz w:val="22"/>
                <w:szCs w:val="22"/>
              </w:rPr>
            </w:pPr>
            <w:r w:rsidDel="00000000" w:rsidR="00000000" w:rsidRPr="00000000">
              <w:rPr>
                <w:color w:val="000000"/>
                <w:sz w:val="22"/>
                <w:szCs w:val="22"/>
                <w:rtl w:val="0"/>
              </w:rPr>
              <w:t xml:space="preserve">5.13 Faculty hiring, promotion and tenure v. non-tenure positions</w:t>
            </w:r>
          </w:p>
          <w:p w:rsidR="00000000" w:rsidDel="00000000" w:rsidP="00000000" w:rsidRDefault="00000000" w:rsidRPr="00000000" w14:paraId="0000004A">
            <w:pPr>
              <w:pageBreakBefore w:val="0"/>
              <w:spacing w:after="2.4" w:before="2.4" w:lineRule="auto"/>
              <w:rPr>
                <w:color w:val="000000"/>
                <w:sz w:val="22"/>
                <w:szCs w:val="22"/>
              </w:rPr>
            </w:pPr>
            <w:r w:rsidDel="00000000" w:rsidR="00000000" w:rsidRPr="00000000">
              <w:rPr>
                <w:color w:val="000000"/>
                <w:sz w:val="22"/>
                <w:szCs w:val="22"/>
                <w:rtl w:val="0"/>
              </w:rPr>
              <w:t xml:space="preserve">7.13 Balance of responsibilities between System and Manoa</w:t>
            </w:r>
          </w:p>
          <w:p w:rsidR="00000000" w:rsidDel="00000000" w:rsidP="00000000" w:rsidRDefault="00000000" w:rsidRPr="00000000" w14:paraId="0000004B">
            <w:pPr>
              <w:pageBreakBefore w:val="0"/>
              <w:spacing w:after="2.4" w:before="2.4" w:lineRule="auto"/>
              <w:rPr>
                <w:color w:val="000000"/>
                <w:sz w:val="22"/>
                <w:szCs w:val="22"/>
              </w:rPr>
            </w:pPr>
            <w:r w:rsidDel="00000000" w:rsidR="00000000" w:rsidRPr="00000000">
              <w:rPr>
                <w:color w:val="000000"/>
                <w:sz w:val="22"/>
                <w:szCs w:val="22"/>
                <w:rtl w:val="0"/>
              </w:rPr>
              <w:t xml:space="preserve">8.13 Re-engineering administrative procedures</w:t>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color w:val="000000"/>
                <w:sz w:val="22"/>
                <w:szCs w:val="22"/>
                <w:rtl w:val="0"/>
              </w:rPr>
              <w:t xml:space="preserve">15.12 Changes to Senate bylaws</w:t>
            </w:r>
          </w:p>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16.13 Athletics funding</w:t>
            </w:r>
          </w:p>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color w:val="000000"/>
                <w:sz w:val="22"/>
                <w:szCs w:val="22"/>
                <w:rtl w:val="0"/>
              </w:rPr>
              <w:t xml:space="preserve">37.12 Student athletic fee</w:t>
            </w:r>
          </w:p>
          <w:p w:rsidR="00000000" w:rsidDel="00000000" w:rsidP="00000000" w:rsidRDefault="00000000" w:rsidRPr="00000000" w14:paraId="0000004F">
            <w:pPr>
              <w:pageBreakBefore w:val="0"/>
              <w:spacing w:after="2.4" w:before="2.4" w:lineRule="auto"/>
              <w:rPr>
                <w:color w:val="000000"/>
                <w:sz w:val="22"/>
                <w:szCs w:val="22"/>
              </w:rPr>
            </w:pPr>
            <w:r w:rsidDel="00000000" w:rsidR="00000000" w:rsidRPr="00000000">
              <w:rPr>
                <w:color w:val="000000"/>
                <w:sz w:val="22"/>
                <w:szCs w:val="22"/>
                <w:rtl w:val="0"/>
              </w:rPr>
              <w:t xml:space="preserve">52.12 Policy Proposal M3:101</w:t>
            </w:r>
          </w:p>
        </w:tc>
        <w:tc>
          <w:tcPr/>
          <w:p w:rsidR="00000000" w:rsidDel="00000000" w:rsidP="00000000" w:rsidRDefault="00000000" w:rsidRPr="00000000" w14:paraId="00000050">
            <w:pPr>
              <w:pageBreakBefore w:val="0"/>
              <w:spacing w:after="2.4" w:before="2.4" w:lineRule="auto"/>
              <w:rPr>
                <w:color w:val="000000"/>
                <w:sz w:val="22"/>
                <w:szCs w:val="22"/>
              </w:rPr>
            </w:pPr>
            <w:r w:rsidDel="00000000" w:rsidR="00000000" w:rsidRPr="00000000">
              <w:rPr>
                <w:color w:val="000000"/>
                <w:sz w:val="22"/>
                <w:szCs w:val="22"/>
                <w:rtl w:val="0"/>
              </w:rPr>
              <w:t xml:space="preserve">It was decided that 1.13, 2.14, were 4.13 complete; 3.13, 5.13, 7.13, 16.13 and 37.12 were either no longer relevant or were beyond the purview of CAB and thus will not be pursued; 15.12 is active before CAB (see above item).  The final issues, 8.13 and 52.12, are detailed next.</w:t>
            </w:r>
          </w:p>
          <w:p w:rsidR="00000000" w:rsidDel="00000000" w:rsidP="00000000" w:rsidRDefault="00000000" w:rsidRPr="00000000" w14:paraId="00000051">
            <w:pPr>
              <w:pageBreakBefore w:val="0"/>
              <w:spacing w:after="2.4" w:before="2.4" w:lineRule="auto"/>
              <w:rPr>
                <w:b w:val="1"/>
                <w:color w:val="335b8a"/>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REVIEW OF ORS</w:t>
            </w:r>
          </w:p>
        </w:tc>
        <w:tc>
          <w:tcPr/>
          <w:p w:rsidR="00000000" w:rsidDel="00000000" w:rsidP="00000000" w:rsidRDefault="00000000" w:rsidRPr="00000000" w14:paraId="00000053">
            <w:pPr>
              <w:pageBreakBefore w:val="0"/>
              <w:spacing w:after="2.4" w:before="2.4" w:lineRule="auto"/>
              <w:rPr>
                <w:sz w:val="22"/>
                <w:szCs w:val="22"/>
              </w:rPr>
            </w:pPr>
            <w:r w:rsidDel="00000000" w:rsidR="00000000" w:rsidRPr="00000000">
              <w:rPr>
                <w:sz w:val="22"/>
                <w:szCs w:val="22"/>
                <w:rtl w:val="0"/>
              </w:rPr>
              <w:t xml:space="preserve">Following the discussion of balancing responsibilities between System and Manoa, it was decided to investigate the possibility of moving ORS from System into Manoa.  </w:t>
            </w:r>
          </w:p>
        </w:tc>
        <w:tc>
          <w:tcPr/>
          <w:p w:rsidR="00000000" w:rsidDel="00000000" w:rsidP="00000000" w:rsidRDefault="00000000" w:rsidRPr="00000000" w14:paraId="00000054">
            <w:pPr>
              <w:pageBreakBefore w:val="0"/>
              <w:spacing w:after="2.4" w:before="2.4" w:lineRule="auto"/>
              <w:rPr>
                <w:b w:val="1"/>
                <w:color w:val="335b8a"/>
                <w:sz w:val="22"/>
                <w:szCs w:val="22"/>
              </w:rPr>
            </w:pPr>
            <w:r w:rsidDel="00000000" w:rsidR="00000000" w:rsidRPr="00000000">
              <w:rPr>
                <w:sz w:val="22"/>
                <w:szCs w:val="22"/>
                <w:rtl w:val="0"/>
              </w:rPr>
              <w:t xml:space="preserve">R. Cooney will draft a resolution for discussion at the next CAB.</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5">
            <w:pPr>
              <w:pageBreakBefore w:val="0"/>
              <w:rPr>
                <w:b w:val="1"/>
                <w:sz w:val="20"/>
                <w:szCs w:val="20"/>
              </w:rPr>
            </w:pPr>
            <w:r w:rsidDel="00000000" w:rsidR="00000000" w:rsidRPr="00000000">
              <w:rPr>
                <w:b w:val="1"/>
                <w:sz w:val="20"/>
                <w:szCs w:val="20"/>
                <w:rtl w:val="0"/>
              </w:rPr>
              <w:t xml:space="preserve">POLICY PROPOSAL M3:101 </w:t>
            </w:r>
          </w:p>
        </w:tc>
        <w:tc>
          <w:tcPr/>
          <w:p w:rsidR="00000000" w:rsidDel="00000000" w:rsidP="00000000" w:rsidRDefault="00000000" w:rsidRPr="00000000" w14:paraId="00000056">
            <w:pPr>
              <w:pageBreakBefore w:val="0"/>
              <w:rPr>
                <w:color w:val="000000"/>
                <w:sz w:val="22"/>
                <w:szCs w:val="22"/>
              </w:rPr>
            </w:pPr>
            <w:r w:rsidDel="00000000" w:rsidR="00000000" w:rsidRPr="00000000">
              <w:rPr>
                <w:sz w:val="22"/>
                <w:szCs w:val="22"/>
                <w:rtl w:val="0"/>
              </w:rPr>
              <w:t xml:space="preserve">Changes and/or closure of units should follow the same process as re-organizations.</w:t>
            </w:r>
            <w:r w:rsidDel="00000000" w:rsidR="00000000" w:rsidRPr="00000000">
              <w:rPr>
                <w:rtl w:val="0"/>
              </w:rPr>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D. Vincent will bring this up at the SEC with the intention of bringing this to the attention of the Chancellor.</w:t>
            </w:r>
          </w:p>
        </w:tc>
      </w:tr>
      <w:tr>
        <w:trPr>
          <w:cantSplit w:val="0"/>
          <w:trHeight w:val="460" w:hRule="atLeast"/>
          <w:tblHeader w:val="0"/>
        </w:trPr>
        <w:tc>
          <w:tcPr/>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NEXT CAB MEETING</w:t>
            </w:r>
          </w:p>
        </w:tc>
        <w:tc>
          <w:tcPr/>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In place of the next scheduled CAB meeting (11/01), the CAB subcommittee will work on the changes to the bylaws.  The next scheduled CAB meeting will therefore be 11/15.</w:t>
            </w:r>
          </w:p>
        </w:tc>
        <w:tc>
          <w:tcPr/>
          <w:p w:rsidR="00000000" w:rsidDel="00000000" w:rsidP="00000000" w:rsidRDefault="00000000" w:rsidRPr="00000000" w14:paraId="0000005A">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The minutes from last CAB meeting were approved.</w:t>
            </w:r>
          </w:p>
        </w:tc>
        <w:tc>
          <w:tcPr/>
          <w:p w:rsidR="00000000" w:rsidDel="00000000" w:rsidP="00000000" w:rsidRDefault="00000000" w:rsidRPr="00000000" w14:paraId="0000005D">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E">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F">
            <w:pPr>
              <w:pageBreakBefore w:val="0"/>
              <w:rPr>
                <w:b w:val="1"/>
                <w:sz w:val="20"/>
                <w:szCs w:val="20"/>
              </w:rPr>
            </w:pPr>
            <w:r w:rsidDel="00000000" w:rsidR="00000000" w:rsidRPr="00000000">
              <w:rPr>
                <w:rtl w:val="0"/>
              </w:rPr>
            </w:r>
          </w:p>
        </w:tc>
        <w:tc>
          <w:tcPr/>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D. Chin adjourned the meeting at 10:35</w:t>
            </w:r>
          </w:p>
        </w:tc>
        <w:tc>
          <w:tcPr/>
          <w:p w:rsidR="00000000" w:rsidDel="00000000" w:rsidP="00000000" w:rsidRDefault="00000000" w:rsidRPr="00000000" w14:paraId="00000061">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rtl w:val="0"/>
              </w:rPr>
            </w:r>
          </w:p>
        </w:tc>
        <w:tc>
          <w:tcPr/>
          <w:p w:rsidR="00000000" w:rsidDel="00000000" w:rsidP="00000000" w:rsidRDefault="00000000" w:rsidRPr="00000000" w14:paraId="00000063">
            <w:pPr>
              <w:pageBreakBefore w:val="0"/>
              <w:rPr>
                <w:sz w:val="22"/>
                <w:szCs w:val="22"/>
              </w:rPr>
            </w:pPr>
            <w:r w:rsidDel="00000000" w:rsidR="00000000" w:rsidRPr="00000000">
              <w:rPr>
                <w:rtl w:val="0"/>
              </w:rPr>
            </w:r>
          </w:p>
        </w:tc>
        <w:tc>
          <w:tcPr/>
          <w:p w:rsidR="00000000" w:rsidDel="00000000" w:rsidP="00000000" w:rsidRDefault="00000000" w:rsidRPr="00000000" w14:paraId="00000064">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rtl w:val="0"/>
              </w:rPr>
            </w:r>
          </w:p>
        </w:tc>
        <w:tc>
          <w:tcPr/>
          <w:p w:rsidR="00000000" w:rsidDel="00000000" w:rsidP="00000000" w:rsidRDefault="00000000" w:rsidRPr="00000000" w14:paraId="00000066">
            <w:pPr>
              <w:pageBreakBefore w:val="0"/>
              <w:rPr>
                <w:sz w:val="22"/>
                <w:szCs w:val="22"/>
              </w:rPr>
            </w:pPr>
            <w:r w:rsidDel="00000000" w:rsidR="00000000" w:rsidRPr="00000000">
              <w:rPr>
                <w:rtl w:val="0"/>
              </w:rPr>
            </w:r>
          </w:p>
        </w:tc>
        <w:tc>
          <w:tcPr/>
          <w:p w:rsidR="00000000" w:rsidDel="00000000" w:rsidP="00000000" w:rsidRDefault="00000000" w:rsidRPr="00000000" w14:paraId="00000067">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8">
            <w:pPr>
              <w:pageBreakBefore w:val="0"/>
              <w:rPr>
                <w:sz w:val="20"/>
                <w:szCs w:val="20"/>
              </w:rPr>
            </w:pPr>
            <w:r w:rsidDel="00000000" w:rsidR="00000000" w:rsidRPr="00000000">
              <w:rPr>
                <w:rtl w:val="0"/>
              </w:rPr>
            </w:r>
          </w:p>
        </w:tc>
        <w:tc>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pageBreakBefore w:val="0"/>
        <w:rPr>
          <w:sz w:val="22"/>
          <w:szCs w:val="22"/>
        </w:rPr>
      </w:pPr>
      <w:r w:rsidDel="00000000" w:rsidR="00000000" w:rsidRPr="00000000">
        <w:rPr>
          <w:rtl w:val="0"/>
        </w:rPr>
      </w:r>
    </w:p>
    <w:p w:rsidR="00000000" w:rsidDel="00000000" w:rsidP="00000000" w:rsidRDefault="00000000" w:rsidRPr="00000000" w14:paraId="0000006C">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Approved on November  15, 2013 with 8 votes in favor of approval and 0 against.</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rPr/>
      </w:pPr>
      <w:bookmarkStart w:colFirst="0" w:colLast="0" w:name="_gjdgxs" w:id="0"/>
      <w:bookmarkEnd w:id="0"/>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3">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