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1710"/>
        </w:tabs>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color w:val="000000"/>
          <w:sz w:val="22"/>
          <w:szCs w:val="22"/>
          <w:rtl w:val="0"/>
        </w:rPr>
        <w:t xml:space="preserve">07 Feb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r>
      <w:r w:rsidDel="00000000" w:rsidR="00000000" w:rsidRPr="00000000">
        <w:rPr>
          <w:color w:val="000000"/>
          <w:sz w:val="22"/>
          <w:szCs w:val="22"/>
          <w:rtl w:val="0"/>
        </w:rPr>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68"/>
        <w:gridCol w:w="360"/>
        <w:gridCol w:w="2250"/>
        <w:gridCol w:w="360"/>
        <w:gridCol w:w="2070"/>
        <w:gridCol w:w="360"/>
        <w:gridCol w:w="1800"/>
        <w:gridCol w:w="1260"/>
        <w:tblGridChange w:id="0">
          <w:tblGrid>
            <w:gridCol w:w="2268"/>
            <w:gridCol w:w="360"/>
            <w:gridCol w:w="2250"/>
            <w:gridCol w:w="360"/>
            <w:gridCol w:w="2070"/>
            <w:gridCol w:w="360"/>
            <w:gridCol w:w="180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COWIE, Robert</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MINERBI, Luciano</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HUEBLER, Deborah</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8:00-10:00</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BRYANT GREENWOOD, Peter</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PAULL, Robert</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NOHARA, Darryl</w:t>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8:00-10:00</w:t>
            </w:r>
          </w:p>
        </w:tc>
      </w:tr>
      <w:tr>
        <w:trPr>
          <w:cantSplit w:val="0"/>
          <w:trHeight w:val="24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INAZU, Judith</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sz w:val="22"/>
                <w:szCs w:val="22"/>
                <w:rtl w:val="0"/>
              </w:rPr>
              <w:t xml:space="preserve">MATSUSHIMA, Cate</w:t>
            </w:r>
          </w:p>
        </w:tc>
        <w:tc>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8:00-10:00</w:t>
            </w:r>
          </w:p>
        </w:tc>
      </w:tr>
      <w:tr>
        <w:trPr>
          <w:cantSplit w:val="0"/>
          <w:trHeight w:val="24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KAWABATA, Wendy</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sz w:val="22"/>
                <w:szCs w:val="22"/>
                <w:rtl w:val="0"/>
              </w:rPr>
              <w:t xml:space="preserve">STEPHENSON, Carolyn</w:t>
            </w:r>
          </w:p>
        </w:tc>
        <w:tc>
          <w:tcPr/>
          <w:p w:rsidR="00000000" w:rsidDel="00000000" w:rsidP="00000000" w:rsidRDefault="00000000" w:rsidRPr="00000000" w14:paraId="0000002F">
            <w:pPr>
              <w:pageBreakBefore w:val="0"/>
              <w:rPr>
                <w:sz w:val="22"/>
                <w:szCs w:val="22"/>
              </w:rPr>
            </w:pPr>
            <w:r w:rsidDel="00000000" w:rsidR="00000000" w:rsidRPr="00000000">
              <w:rPr>
                <w:sz w:val="22"/>
                <w:szCs w:val="22"/>
                <w:rtl w:val="0"/>
              </w:rPr>
              <w:t xml:space="preserve">8:00-10:00</w:t>
            </w:r>
          </w:p>
        </w:tc>
      </w:tr>
      <w:tr>
        <w:trPr>
          <w:cantSplit w:val="0"/>
          <w:trHeight w:val="16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COONEY, Robert</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D. Chin called the meeting to order at 8:05</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DISCUSSION OF PROPOSED PARKING RATE INCREASES</w:t>
            </w:r>
          </w:p>
        </w:tc>
        <w:tc>
          <w:tcPr/>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CAB continued the Q/A with commuter services: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 reduction in passes issued?: JABSOM took some, construction also took many</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 stalls in new report?: summer was not included in the current year estimate</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Contractor passes?: there are two types, the first is limited to non-stall parking (e.g., on site, on grass, etc.) at $10 per semester; the second is $10 per year but an additional $5 daily fee is required.  The former type is limited to 3 per project.  Contractor passes are handled through Facilities, but Commuter Services recommended that they should be notified if abuses are suspected.</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Night and weekend increases?: yes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 pass holders subsidizing event parking?:  no; in some cases these are paid by donations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UHM vs. JABSOM:  There is no longer a reciprocal agreement between the two (different passes are required); there currently is no shuttle between UHM and JABSOM</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Bicycles in buildings: not an issue for CS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Discrepancy between rate increase in upper and lower campus: handled last meeting</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On-line forms for parking passes: CS working on this, the issue is handling GRA’s as students vs. employees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After-hours permits for loading:  There is currently a pass for this, termed “entry only”, allows holders to enter and load/unload or drop off/pickup passengers.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campus security be used to man entry booth after hours:  probably not feasible since attendants need to check/issue passes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Subsidizing bus passes:  still under negotiations with the Bus; this is estimated to cost $420K per year</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was extended discussion about the shuttle; this is done via contract, but it was not clear what the ridership was, or would be if the service was to be extended.</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was additional discussion about the differential rates for faculty and students.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Kakaʻako has a serious problem with limited parking for employees with disabilities.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was concern expressed regarding State vehicles using parking stalls, in many cases these appear to be older vehicles that don’t leave often (if at all). CS asked to be informed on specific abuses.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final topic was regarding the rental cars on campus.  By contract, the first $1400 per month goes to Enterprise, and any amount above that is shared between Enterprise and the University.  There are no statistics available yet for this program (it is in year 2 of 3).</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 Huebler will provide data on ridership, costs, etc. for the shuttle.</w:t>
            </w:r>
          </w:p>
        </w:tc>
      </w:tr>
      <w:tr>
        <w:trPr>
          <w:cantSplit w:val="0"/>
          <w:trHeight w:val="720" w:hRule="atLeast"/>
          <w:tblHeader w:val="0"/>
        </w:trPr>
        <w:tc>
          <w:tcPr/>
          <w:p w:rsidR="00000000" w:rsidDel="00000000" w:rsidP="00000000" w:rsidRDefault="00000000" w:rsidRPr="00000000" w14:paraId="00000054">
            <w:pPr>
              <w:pageBreakBefore w:val="0"/>
              <w:rPr>
                <w:b w:val="1"/>
                <w:sz w:val="20"/>
                <w:szCs w:val="20"/>
              </w:rPr>
            </w:pPr>
            <w:r w:rsidDel="00000000" w:rsidR="00000000" w:rsidRPr="00000000">
              <w:rPr>
                <w:b w:val="1"/>
                <w:sz w:val="20"/>
                <w:szCs w:val="20"/>
                <w:rtl w:val="0"/>
              </w:rPr>
              <w:t xml:space="preserve">APPROVAL OF MINUTES FROM LAST CAB MTG</w:t>
            </w:r>
          </w:p>
        </w:tc>
        <w:tc>
          <w:tcPr/>
          <w:p w:rsidR="00000000" w:rsidDel="00000000" w:rsidP="00000000" w:rsidRDefault="00000000" w:rsidRPr="00000000" w14:paraId="00000055">
            <w:pPr>
              <w:pageBreakBefore w:val="0"/>
              <w:spacing w:after="2.4" w:before="2.4" w:lineRule="auto"/>
              <w:rPr>
                <w:sz w:val="22"/>
                <w:szCs w:val="22"/>
              </w:rPr>
            </w:pPr>
            <w:r w:rsidDel="00000000" w:rsidR="00000000" w:rsidRPr="00000000">
              <w:rPr>
                <w:sz w:val="22"/>
                <w:szCs w:val="22"/>
                <w:rtl w:val="0"/>
              </w:rPr>
              <w:t xml:space="preserve">The approval of minutes from the last meeting was deferred until the next CAB meeting</w:t>
            </w:r>
          </w:p>
        </w:tc>
        <w:tc>
          <w:tcPr/>
          <w:p w:rsidR="00000000" w:rsidDel="00000000" w:rsidP="00000000" w:rsidRDefault="00000000" w:rsidRPr="00000000" w14:paraId="00000056">
            <w:pPr>
              <w:pageBreakBefore w:val="0"/>
              <w:spacing w:after="2.4" w:before="2.4" w:lineRule="auto"/>
              <w:rPr>
                <w:b w:val="1"/>
                <w:color w:val="335b8a"/>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7">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8">
            <w:pPr>
              <w:pageBreakBefore w:val="0"/>
              <w:rPr>
                <w:b w:val="1"/>
                <w:sz w:val="20"/>
                <w:szCs w:val="20"/>
              </w:rPr>
            </w:pPr>
            <w:r w:rsidDel="00000000" w:rsidR="00000000" w:rsidRPr="00000000">
              <w:rPr>
                <w:rtl w:val="0"/>
              </w:rPr>
            </w:r>
          </w:p>
        </w:tc>
        <w:tc>
          <w:tcPr/>
          <w:p w:rsidR="00000000" w:rsidDel="00000000" w:rsidP="00000000" w:rsidRDefault="00000000" w:rsidRPr="00000000" w14:paraId="00000059">
            <w:pPr>
              <w:pageBreakBefore w:val="0"/>
              <w:rPr>
                <w:color w:val="000000"/>
                <w:sz w:val="22"/>
                <w:szCs w:val="22"/>
              </w:rPr>
            </w:pPr>
            <w:r w:rsidDel="00000000" w:rsidR="00000000" w:rsidRPr="00000000">
              <w:rPr>
                <w:sz w:val="22"/>
                <w:szCs w:val="22"/>
                <w:rtl w:val="0"/>
              </w:rPr>
              <w:t xml:space="preserve">D. Chin adjourned the meeting at 10:00</w:t>
            </w:r>
            <w:r w:rsidDel="00000000" w:rsidR="00000000" w:rsidRPr="00000000">
              <w:rPr>
                <w:rtl w:val="0"/>
              </w:rPr>
            </w:r>
          </w:p>
        </w:tc>
        <w:tc>
          <w:tcPr/>
          <w:p w:rsidR="00000000" w:rsidDel="00000000" w:rsidP="00000000" w:rsidRDefault="00000000" w:rsidRPr="00000000" w14:paraId="0000005A">
            <w:pPr>
              <w:pageBreakBefore w:val="0"/>
              <w:rPr>
                <w:sz w:val="22"/>
                <w:szCs w:val="22"/>
              </w:rPr>
            </w:pPr>
            <w:r w:rsidDel="00000000" w:rsidR="00000000" w:rsidRPr="00000000">
              <w:rPr>
                <w:rtl w:val="0"/>
              </w:rPr>
            </w:r>
          </w:p>
        </w:tc>
      </w:tr>
    </w:tbl>
    <w:p w:rsidR="00000000" w:rsidDel="00000000" w:rsidP="00000000" w:rsidRDefault="00000000" w:rsidRPr="00000000" w14:paraId="0000005B">
      <w:pPr>
        <w:pageBreakBefore w:val="0"/>
        <w:rPr>
          <w:sz w:val="22"/>
          <w:szCs w:val="22"/>
        </w:rPr>
      </w:pPr>
      <w:r w:rsidDel="00000000" w:rsidR="00000000" w:rsidRPr="00000000">
        <w:rPr>
          <w:rtl w:val="0"/>
        </w:rPr>
      </w:r>
    </w:p>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Respectfully submitted by </w:t>
      </w:r>
      <w:r w:rsidDel="00000000" w:rsidR="00000000" w:rsidRPr="00000000">
        <w:rPr>
          <w:color w:val="000000"/>
          <w:sz w:val="22"/>
          <w:szCs w:val="22"/>
          <w:rtl w:val="0"/>
        </w:rPr>
        <w:t xml:space="preserve">Jim Potemra</w:t>
      </w:r>
      <w:r w:rsidDel="00000000" w:rsidR="00000000" w:rsidRPr="00000000">
        <w:rPr>
          <w:rtl w:val="0"/>
        </w:rPr>
      </w:r>
    </w:p>
    <w:p w:rsidR="00000000" w:rsidDel="00000000" w:rsidP="00000000" w:rsidRDefault="00000000" w:rsidRPr="00000000" w14:paraId="0000005D">
      <w:pPr>
        <w:pageBreakBefore w:val="0"/>
        <w:rPr>
          <w:sz w:val="22"/>
          <w:szCs w:val="22"/>
        </w:rPr>
      </w:pPr>
      <w:r w:rsidDel="00000000" w:rsidR="00000000" w:rsidRPr="00000000">
        <w:rPr>
          <w:sz w:val="22"/>
          <w:szCs w:val="22"/>
          <w:rtl w:val="0"/>
        </w:rPr>
        <w:t xml:space="preserve">Approved on </w:t>
      </w:r>
      <w:r w:rsidDel="00000000" w:rsidR="00000000" w:rsidRPr="00000000">
        <w:rPr>
          <w:color w:val="000000"/>
          <w:sz w:val="22"/>
          <w:szCs w:val="22"/>
          <w:rtl w:val="0"/>
        </w:rPr>
        <w:t xml:space="preserve">February 21, 2014</w:t>
      </w:r>
      <w:r w:rsidDel="00000000" w:rsidR="00000000" w:rsidRPr="00000000">
        <w:rPr>
          <w:sz w:val="22"/>
          <w:szCs w:val="22"/>
          <w:rtl w:val="0"/>
        </w:rPr>
        <w:t xml:space="preserve"> with </w:t>
      </w:r>
      <w:r w:rsidDel="00000000" w:rsidR="00000000" w:rsidRPr="00000000">
        <w:rPr>
          <w:color w:val="000000"/>
          <w:sz w:val="22"/>
          <w:szCs w:val="22"/>
          <w:rtl w:val="0"/>
        </w:rPr>
        <w:t xml:space="preserve">10</w:t>
      </w:r>
      <w:r w:rsidDel="00000000" w:rsidR="00000000" w:rsidRPr="00000000">
        <w:rPr>
          <w:sz w:val="22"/>
          <w:szCs w:val="22"/>
          <w:rtl w:val="0"/>
        </w:rPr>
        <w:t xml:space="preserve"> votes in favor of approval and </w:t>
      </w:r>
      <w:r w:rsidDel="00000000" w:rsidR="00000000" w:rsidRPr="00000000">
        <w:rPr>
          <w:color w:val="000000"/>
          <w:sz w:val="22"/>
          <w:szCs w:val="22"/>
          <w:rtl w:val="0"/>
        </w:rPr>
        <w:t xml:space="preserve">0</w:t>
      </w:r>
      <w:r w:rsidDel="00000000" w:rsidR="00000000" w:rsidRPr="00000000">
        <w:rPr>
          <w:sz w:val="22"/>
          <w:szCs w:val="22"/>
          <w:rtl w:val="0"/>
        </w:rPr>
        <w:t xml:space="preserve"> against.</w:t>
      </w:r>
    </w:p>
    <w:p w:rsidR="00000000" w:rsidDel="00000000" w:rsidP="00000000" w:rsidRDefault="00000000" w:rsidRPr="00000000" w14:paraId="0000005E">
      <w:pPr>
        <w:pageBreakBefore w:val="0"/>
        <w:ind w:left="720" w:firstLine="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3">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