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1710"/>
        </w:tabs>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21 Feb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360"/>
        <w:gridCol w:w="2250"/>
        <w:gridCol w:w="360"/>
        <w:gridCol w:w="2070"/>
        <w:gridCol w:w="360"/>
        <w:gridCol w:w="1800"/>
        <w:gridCol w:w="1260"/>
        <w:tblGridChange w:id="0">
          <w:tblGrid>
            <w:gridCol w:w="2268"/>
            <w:gridCol w:w="360"/>
            <w:gridCol w:w="2250"/>
            <w:gridCol w:w="360"/>
            <w:gridCol w:w="2070"/>
            <w:gridCol w:w="360"/>
            <w:gridCol w:w="180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MINERBI, Luciano</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8:00-10:00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BRYANT GREENWOOD, Peter</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D. Vincent called the meeting to order at 8:05</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DISCUSSION OF ISSUES FROM FACULTY SENATE MEETING</w:t>
            </w:r>
          </w:p>
        </w:tc>
        <w:tc>
          <w:tcPr/>
          <w:p w:rsidR="00000000" w:rsidDel="00000000" w:rsidP="00000000" w:rsidRDefault="00000000" w:rsidRPr="00000000" w14:paraId="00000041">
            <w:pPr>
              <w:pageBreakBefore w:val="0"/>
              <w:spacing w:after="2.4" w:before="2.4" w:lineRule="auto"/>
              <w:ind w:left="-18" w:firstLine="0"/>
              <w:rPr>
                <w:sz w:val="22"/>
                <w:szCs w:val="22"/>
              </w:rPr>
            </w:pPr>
            <w:r w:rsidDel="00000000" w:rsidR="00000000" w:rsidRPr="00000000">
              <w:rPr>
                <w:sz w:val="22"/>
                <w:szCs w:val="22"/>
                <w:rtl w:val="0"/>
              </w:rPr>
              <w:t xml:space="preserve">There was a general discussion about the relative roles of the faculty union (UHPA) and the Senate.  This was the topic of the MFS meeting on 02/19.  It was agreed that it was helpful to learn about the difference between the two organizations despite the unfortunate series of events that resulted in the SEC inviting UHPA to the</w:t>
            </w:r>
            <w:r w:rsidDel="00000000" w:rsidR="00000000" w:rsidRPr="00000000">
              <w:rPr>
                <w:strike w:val="1"/>
                <w:color w:val="ff0000"/>
                <w:sz w:val="22"/>
                <w:szCs w:val="22"/>
                <w:rtl w:val="0"/>
              </w:rPr>
              <w:t xml:space="preserve"> </w:t>
            </w:r>
            <w:r w:rsidDel="00000000" w:rsidR="00000000" w:rsidRPr="00000000">
              <w:rPr>
                <w:sz w:val="22"/>
                <w:szCs w:val="22"/>
                <w:rtl w:val="0"/>
              </w:rPr>
              <w:t xml:space="preserve">MFS meeting.</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REVIEW OF COMMUTER SERVICES RATE INCREASE</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sz w:val="22"/>
                <w:szCs w:val="22"/>
                <w:rtl w:val="0"/>
              </w:rPr>
              <w:t xml:space="preserve">Following the previous two CAB meetings, during which representatives from Commuter Services (CS) addressed questions from CAB, and subsequent receipt of details about the shuttle service that were emailed to CAB members, there was a discussion about next steps.  In light of the UHPA/MFS interactions, it was decided that parking issues indeed fall under MFS purview, given the potential impact to academics, but it could also be considered an issue of working conditions, thus potentially of concern for UHPA.  It was decided that CAB will update UHPA about our efforts on this issue.  It was noted that different campuses have different rules on parking, and thus in the past UHPA was reluctant to get involved.</w:t>
            </w:r>
          </w:p>
          <w:p w:rsidR="00000000" w:rsidDel="00000000" w:rsidP="00000000" w:rsidRDefault="00000000" w:rsidRPr="00000000" w14:paraId="00000045">
            <w:pPr>
              <w:pageBreakBefore w:val="0"/>
              <w:spacing w:after="2.4" w:before="2.4" w:lineRule="auto"/>
              <w:rPr>
                <w:sz w:val="22"/>
                <w:szCs w:val="22"/>
              </w:rPr>
            </w:pPr>
            <w:r w:rsidDel="00000000" w:rsidR="00000000" w:rsidRPr="00000000">
              <w:rPr>
                <w:sz w:val="22"/>
                <w:szCs w:val="22"/>
                <w:rtl w:val="0"/>
              </w:rPr>
              <w:t xml:space="preserve">There was a review of the statistics on shuttle ridership supplied by CS.  While helpful, there were many numbers still unknown, e.g., CS supplied total ridership but not for specific routes making it difficult to determine the number of riders per shuttle trip and whether this represented students riding from dorms to campus</w:t>
            </w:r>
            <w:r w:rsidDel="00000000" w:rsidR="00000000" w:rsidRPr="00000000">
              <w:rPr>
                <w:color w:val="ff0000"/>
                <w:sz w:val="22"/>
                <w:szCs w:val="22"/>
                <w:rtl w:val="0"/>
              </w:rPr>
              <w:t xml:space="preserve">.</w:t>
            </w:r>
            <w:r w:rsidDel="00000000" w:rsidR="00000000" w:rsidRPr="00000000">
              <w:rPr>
                <w:rtl w:val="0"/>
              </w:rPr>
            </w:r>
          </w:p>
          <w:p w:rsidR="00000000" w:rsidDel="00000000" w:rsidP="00000000" w:rsidRDefault="00000000" w:rsidRPr="00000000" w14:paraId="00000046">
            <w:pPr>
              <w:pageBreakBefore w:val="0"/>
              <w:spacing w:after="2.4" w:before="2.4" w:lineRule="auto"/>
              <w:rPr>
                <w:sz w:val="22"/>
                <w:szCs w:val="22"/>
              </w:rPr>
            </w:pPr>
            <w:r w:rsidDel="00000000" w:rsidR="00000000" w:rsidRPr="00000000">
              <w:rPr>
                <w:sz w:val="22"/>
                <w:szCs w:val="22"/>
                <w:rtl w:val="0"/>
              </w:rPr>
              <w:t xml:space="preserve">Next, it was determined that subsidies that are included in the CS budget were not appropriate, or at least should be considered at the system level (e.g., subsidies for bus passes).  The differential rate increases for students and faculty/staff were also not seen as fully justified.</w:t>
            </w:r>
          </w:p>
        </w:tc>
        <w:tc>
          <w:tcPr/>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D. Vincent will notify UHPA of CAB’s deliberations on the CS rate increase proposal.</w:t>
            </w:r>
          </w:p>
          <w:p w:rsidR="00000000" w:rsidDel="00000000" w:rsidP="00000000" w:rsidRDefault="00000000" w:rsidRPr="00000000" w14:paraId="0000004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9">
            <w:pPr>
              <w:pageBreakBefore w:val="0"/>
              <w:spacing w:after="2.4" w:before="2.4" w:lineRule="auto"/>
              <w:rPr>
                <w:sz w:val="22"/>
                <w:szCs w:val="22"/>
              </w:rPr>
            </w:pPr>
            <w:r w:rsidDel="00000000" w:rsidR="00000000" w:rsidRPr="00000000">
              <w:rPr>
                <w:sz w:val="22"/>
                <w:szCs w:val="22"/>
                <w:rtl w:val="0"/>
              </w:rPr>
              <w:t xml:space="preserve">D. Chin will check whether the issue of subsidies is a Manoā issue or system level issue.</w:t>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DRAFT RESOLUTION ON RATE INCREASE</w:t>
            </w:r>
          </w:p>
          <w:p w:rsidR="00000000" w:rsidDel="00000000" w:rsidP="00000000" w:rsidRDefault="00000000" w:rsidRPr="00000000" w14:paraId="0000004B">
            <w:pPr>
              <w:pageBreakBefore w:val="0"/>
              <w:rPr>
                <w:b w:val="1"/>
                <w:sz w:val="20"/>
                <w:szCs w:val="20"/>
              </w:rPr>
            </w:pPr>
            <w:r w:rsidDel="00000000" w:rsidR="00000000" w:rsidRPr="00000000">
              <w:rPr>
                <w:rtl w:val="0"/>
              </w:rPr>
            </w:r>
          </w:p>
        </w:tc>
        <w:tc>
          <w:tcPr/>
          <w:p w:rsidR="00000000" w:rsidDel="00000000" w:rsidP="00000000" w:rsidRDefault="00000000" w:rsidRPr="00000000" w14:paraId="0000004C">
            <w:pPr>
              <w:pageBreakBefore w:val="0"/>
              <w:rPr>
                <w:color w:val="000000"/>
                <w:sz w:val="22"/>
                <w:szCs w:val="22"/>
              </w:rPr>
            </w:pPr>
            <w:r w:rsidDel="00000000" w:rsidR="00000000" w:rsidRPr="00000000">
              <w:rPr>
                <w:sz w:val="22"/>
                <w:szCs w:val="22"/>
                <w:rtl w:val="0"/>
              </w:rPr>
              <w:t xml:space="preserve">D. Chin presented the original resolution regarding the MFS position on rate increases that was presented at the MFS meeting on May 2, 2012 but was not brought to vote for lack of quorum.  A straw vote was held on the resolution and it passed 29-5.</w:t>
            </w:r>
            <w:r w:rsidDel="00000000" w:rsidR="00000000" w:rsidRPr="00000000">
              <w:rPr>
                <w:color w:val="ff0000"/>
                <w:sz w:val="22"/>
                <w:szCs w:val="22"/>
                <w:rtl w:val="0"/>
              </w:rPr>
              <w:t xml:space="preserve">  </w:t>
            </w:r>
            <w:r w:rsidDel="00000000" w:rsidR="00000000" w:rsidRPr="00000000">
              <w:rPr>
                <w:sz w:val="22"/>
                <w:szCs w:val="22"/>
                <w:rtl w:val="0"/>
              </w:rPr>
              <w:t xml:space="preserve">CAB then suggested several changes to the resolution, including removing specific quotes from the Nelson-Nygaard report (</w:t>
            </w:r>
            <w:hyperlink r:id="rId6">
              <w:r w:rsidDel="00000000" w:rsidR="00000000" w:rsidRPr="00000000">
                <w:rPr>
                  <w:color w:val="0000ff"/>
                  <w:sz w:val="22"/>
                  <w:szCs w:val="22"/>
                  <w:u w:val="single"/>
                  <w:rtl w:val="0"/>
                </w:rPr>
                <w:t xml:space="preserve">http://manoa.hawaii.edu/planning/TDM2012.pdf</w:t>
              </w:r>
            </w:hyperlink>
            <w:r w:rsidDel="00000000" w:rsidR="00000000" w:rsidRPr="00000000">
              <w:rPr>
                <w:sz w:val="22"/>
                <w:szCs w:val="22"/>
                <w:rtl w:val="0"/>
              </w:rPr>
              <w:t xml:space="preserve">) and instead focusing on a central theme of tying parking rates to maintenance and operation and removing other expenses (e.g., subsidies for bus passes and shuttle costs) from the equation.</w:t>
            </w:r>
            <w:r w:rsidDel="00000000" w:rsidR="00000000" w:rsidRPr="00000000">
              <w:rPr>
                <w:rtl w:val="0"/>
              </w:rPr>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D. Chin will draft a new resolution and distribute to CAB along with the original resolution from May 2012 for comment.</w:t>
            </w:r>
          </w:p>
          <w:p w:rsidR="00000000" w:rsidDel="00000000" w:rsidP="00000000" w:rsidRDefault="00000000" w:rsidRPr="00000000" w14:paraId="0000004E">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0">
            <w:pPr>
              <w:pageBreakBefore w:val="0"/>
              <w:rPr>
                <w:b w:val="1"/>
                <w:sz w:val="20"/>
                <w:szCs w:val="20"/>
              </w:rPr>
            </w:pPr>
            <w:r w:rsidDel="00000000" w:rsidR="00000000" w:rsidRPr="00000000">
              <w:rPr>
                <w:rtl w:val="0"/>
              </w:rPr>
            </w:r>
          </w:p>
        </w:tc>
        <w:tc>
          <w:tcPr/>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D. Chin adjourned the meeting at 09:50</w:t>
            </w:r>
          </w:p>
        </w:tc>
        <w:tc>
          <w:tcPr/>
          <w:p w:rsidR="00000000" w:rsidDel="00000000" w:rsidP="00000000" w:rsidRDefault="00000000" w:rsidRPr="00000000" w14:paraId="00000052">
            <w:pPr>
              <w:pageBreakBefore w:val="0"/>
              <w:rPr>
                <w:sz w:val="22"/>
                <w:szCs w:val="22"/>
              </w:rPr>
            </w:pPr>
            <w:r w:rsidDel="00000000" w:rsidR="00000000" w:rsidRPr="00000000">
              <w:rPr>
                <w:rtl w:val="0"/>
              </w:rPr>
            </w:r>
          </w:p>
        </w:tc>
      </w:tr>
    </w:tbl>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Approved on 07 Mar 2014 with 8 votes in favor of approval and 0 against.</w:t>
      </w:r>
    </w:p>
    <w:p w:rsidR="00000000" w:rsidDel="00000000" w:rsidP="00000000" w:rsidRDefault="00000000" w:rsidRPr="00000000" w14:paraId="00000056">
      <w:pPr>
        <w:pageBreakBefore w:val="0"/>
        <w:ind w:left="720" w:firstLine="0"/>
        <w:rPr/>
      </w:pPr>
      <w:bookmarkStart w:colFirst="0" w:colLast="0" w:name="_gjdgxs" w:id="0"/>
      <w:bookmarkEnd w:id="0"/>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B">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noa.hawaii.edu/planning/TDM2012.pdf"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