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1710"/>
        </w:tabs>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07 Mar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68"/>
        <w:gridCol w:w="360"/>
        <w:gridCol w:w="2250"/>
        <w:gridCol w:w="360"/>
        <w:gridCol w:w="2070"/>
        <w:gridCol w:w="360"/>
        <w:gridCol w:w="1800"/>
        <w:gridCol w:w="1260"/>
        <w:tblGridChange w:id="0">
          <w:tblGrid>
            <w:gridCol w:w="2268"/>
            <w:gridCol w:w="360"/>
            <w:gridCol w:w="2250"/>
            <w:gridCol w:w="360"/>
            <w:gridCol w:w="2070"/>
            <w:gridCol w:w="360"/>
            <w:gridCol w:w="180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COWIE, Robert</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MINERBI, Luciano</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STEPHENSON, Carolyn</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8:00-9:30</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BRYANT GREENWOOD, Peter</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PAULL, Robert</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INAZU, Judith</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The meeting was called to order at 8:10.</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COMMUTER SERVICES RATE INCREASE</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CAB continued to discuss the proposed parking rate increases.  K. Herrick had emailed CAB with legal language related to the revolving fund. It was noted at the meeting that per Act 240, Session Laws of Hawaii 1990, “the revolving fund 1) must continue to serve the purpose for which it was originally created and 2) reflect a clear link between the benefit sought and charges made upon the users or beneficiaries of the program, as opposed to serving primarily as a means to provide the program or users with an automatic means of support which is removed from the normal budget and appropriations process”. .  Key to this is the funds acquired have to be directly applicable to the purpose of the fund.  This may not be the case with parking, since funds are being requested to support other activities (e.g., bus pass subsidies, shuttle service, and lower student parking rates).  CAB agreed the draft resolution should therefore highlight these three issues: 1) bus pass subsidies, 2) shuttle service, and 3) subsidies for lower student rates.  All three appear to be outside the scope of the revolving fund.</w:t>
            </w:r>
          </w:p>
        </w:tc>
        <w:tc>
          <w:tcPr/>
          <w:p w:rsidR="00000000" w:rsidDel="00000000" w:rsidP="00000000" w:rsidRDefault="00000000" w:rsidRPr="00000000" w14:paraId="00000042">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DRAFT RESOLUTION ON RATE INCREASE</w:t>
            </w:r>
          </w:p>
          <w:p w:rsidR="00000000" w:rsidDel="00000000" w:rsidP="00000000" w:rsidRDefault="00000000" w:rsidRPr="00000000" w14:paraId="00000044">
            <w:pPr>
              <w:pageBreakBefore w:val="0"/>
              <w:rPr>
                <w:b w:val="1"/>
                <w:sz w:val="20"/>
                <w:szCs w:val="20"/>
              </w:rPr>
            </w:pPr>
            <w:r w:rsidDel="00000000" w:rsidR="00000000" w:rsidRPr="00000000">
              <w:rPr>
                <w:rtl w:val="0"/>
              </w:rPr>
            </w:r>
          </w:p>
        </w:tc>
        <w:tc>
          <w:tcPr/>
          <w:p w:rsidR="00000000" w:rsidDel="00000000" w:rsidP="00000000" w:rsidRDefault="00000000" w:rsidRPr="00000000" w14:paraId="00000045">
            <w:pPr>
              <w:pageBreakBefore w:val="0"/>
              <w:rPr>
                <w:color w:val="000000"/>
                <w:sz w:val="22"/>
                <w:szCs w:val="22"/>
              </w:rPr>
            </w:pPr>
            <w:r w:rsidDel="00000000" w:rsidR="00000000" w:rsidRPr="00000000">
              <w:rPr>
                <w:sz w:val="22"/>
                <w:szCs w:val="22"/>
                <w:rtl w:val="0"/>
              </w:rPr>
              <w:t xml:space="preserve">D. Chin brought up the draft resolution and it was further edited by CAB.</w:t>
            </w:r>
            <w:r w:rsidDel="00000000" w:rsidR="00000000" w:rsidRPr="00000000">
              <w:rPr>
                <w:rtl w:val="0"/>
              </w:rPr>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D. Chin will distribute the draft resolution.  In addition, DC will send a copy to Kathy Cutshaw and invite her to the next CAB meeting.</w:t>
            </w:r>
          </w:p>
        </w:tc>
      </w:tr>
      <w:tr>
        <w:trPr>
          <w:cantSplit w:val="0"/>
          <w:trHeight w:val="46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8">
            <w:pPr>
              <w:pageBreakBefore w:val="0"/>
              <w:rPr>
                <w:sz w:val="22"/>
                <w:szCs w:val="22"/>
              </w:rPr>
            </w:pPr>
            <w:r w:rsidDel="00000000" w:rsidR="00000000" w:rsidRPr="00000000">
              <w:rPr>
                <w:sz w:val="22"/>
                <w:szCs w:val="22"/>
                <w:rtl w:val="0"/>
              </w:rPr>
              <w:t xml:space="preserve">The revised minutes were passed.</w:t>
            </w:r>
          </w:p>
        </w:tc>
        <w:tc>
          <w:tcPr/>
          <w:p w:rsidR="00000000" w:rsidDel="00000000" w:rsidP="00000000" w:rsidRDefault="00000000" w:rsidRPr="00000000" w14:paraId="00000049">
            <w:pPr>
              <w:pageBreakBefore w:val="0"/>
              <w:rPr>
                <w:sz w:val="22"/>
                <w:szCs w:val="22"/>
              </w:rPr>
            </w:pPr>
            <w:r w:rsidDel="00000000" w:rsidR="00000000" w:rsidRPr="00000000">
              <w:rPr>
                <w:rtl w:val="0"/>
              </w:rPr>
            </w:r>
          </w:p>
        </w:tc>
      </w:tr>
      <w:tr>
        <w:trPr>
          <w:cantSplit w:val="0"/>
          <w:trHeight w:val="46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B">
            <w:pPr>
              <w:pageBreakBefore w:val="0"/>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D. Chin adjourned the meeting at 09:29</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D">
            <w:pPr>
              <w:pageBreakBefore w:val="0"/>
              <w:rPr>
                <w:sz w:val="22"/>
                <w:szCs w:val="22"/>
              </w:rPr>
            </w:pPr>
            <w:r w:rsidDel="00000000" w:rsidR="00000000" w:rsidRPr="00000000">
              <w:rPr>
                <w:rtl w:val="0"/>
              </w:rPr>
            </w:r>
          </w:p>
        </w:tc>
      </w:tr>
    </w:tbl>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Respectfully submitted by Jim Potemra</w:t>
      </w:r>
    </w:p>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Approved on 04 April 2014 with 8 votes in favor of approval and 0 against.</w:t>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6">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