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710"/>
        </w:tabs>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color w:val="000000"/>
          <w:sz w:val="22"/>
          <w:szCs w:val="22"/>
          <w:rtl w:val="0"/>
        </w:rPr>
        <w:t xml:space="preserve">04 Apr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r>
      <w:r w:rsidDel="00000000" w:rsidR="00000000" w:rsidRPr="00000000">
        <w:rPr>
          <w:color w:val="000000"/>
          <w:sz w:val="22"/>
          <w:szCs w:val="22"/>
          <w:rtl w:val="0"/>
        </w:rPr>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360"/>
        <w:gridCol w:w="2250"/>
        <w:gridCol w:w="360"/>
        <w:gridCol w:w="2070"/>
        <w:gridCol w:w="360"/>
        <w:gridCol w:w="1800"/>
        <w:gridCol w:w="1260"/>
        <w:tblGridChange w:id="0">
          <w:tblGrid>
            <w:gridCol w:w="2268"/>
            <w:gridCol w:w="360"/>
            <w:gridCol w:w="2250"/>
            <w:gridCol w:w="360"/>
            <w:gridCol w:w="2070"/>
            <w:gridCol w:w="360"/>
            <w:gridCol w:w="180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8:00-9:15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BRYANT GREENWOOD, Peter</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CUTSHAW, Kathy</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8:00-8:50</w:t>
            </w:r>
          </w:p>
        </w:tc>
      </w:tr>
      <w:tr>
        <w:trPr>
          <w:cantSplit w:val="0"/>
          <w:trHeight w:val="24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The meeting was called to order at 8:00.</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BUDGET OVERVIEW</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VCAFO Cutshaw gave CAB an overview of the budget situation as it stands with the State legislature.  She distributed two documents with summary information including prioritized spending.  April 25 is when this will be finalized at the State level.  During questioning, Cutshaw discussed faculty/teaching assessment and the importance to include research and student advising.</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DISCUSSION ON BUILDINGS</w:t>
            </w:r>
          </w:p>
          <w:p w:rsidR="00000000" w:rsidDel="00000000" w:rsidP="00000000" w:rsidRDefault="00000000" w:rsidRPr="00000000" w14:paraId="00000044">
            <w:pPr>
              <w:pageBreakBefore w:val="0"/>
              <w:rPr>
                <w:b w:val="1"/>
                <w:sz w:val="20"/>
                <w:szCs w:val="20"/>
              </w:rPr>
            </w:pPr>
            <w:r w:rsidDel="00000000" w:rsidR="00000000" w:rsidRPr="00000000">
              <w:rPr>
                <w:rtl w:val="0"/>
              </w:rPr>
            </w:r>
          </w:p>
        </w:tc>
        <w:tc>
          <w:tcPr/>
          <w:p w:rsidR="00000000" w:rsidDel="00000000" w:rsidP="00000000" w:rsidRDefault="00000000" w:rsidRPr="00000000" w14:paraId="00000045">
            <w:pPr>
              <w:pageBreakBefore w:val="0"/>
              <w:rPr>
                <w:color w:val="000000"/>
                <w:sz w:val="22"/>
                <w:szCs w:val="22"/>
              </w:rPr>
            </w:pPr>
            <w:r w:rsidDel="00000000" w:rsidR="00000000" w:rsidRPr="00000000">
              <w:rPr>
                <w:sz w:val="22"/>
                <w:szCs w:val="22"/>
                <w:rtl w:val="0"/>
              </w:rPr>
              <w:t xml:space="preserve">Cutshaw mentioned that the faculty housing policy was approved by a subcommittee of the BoR and will go to the full BoR for consideration at their meeting in two weeks.  She also said that studies for future housing along Metcalf street were on-going; 50 unit townhouses were being planned.  CAB reminded Cutshaw that the UH still does not have a long-term plan to purchase land in the university area and that this should be addressed.</w:t>
            </w:r>
            <w:r w:rsidDel="00000000" w:rsidR="00000000" w:rsidRPr="00000000">
              <w:rPr>
                <w:rtl w:val="0"/>
              </w:rPr>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R. Paull will distribute the handouts to CAB for those who couldn’t attend in person.</w:t>
            </w:r>
          </w:p>
          <w:p w:rsidR="00000000" w:rsidDel="00000000" w:rsidP="00000000" w:rsidRDefault="00000000" w:rsidRPr="00000000" w14:paraId="00000047">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PARKING RESOLUTION – COMMENTS FROM VCAFO</w:t>
            </w:r>
          </w:p>
        </w:tc>
        <w:tc>
          <w:tcPr/>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Cutshaw acknowledged receipt of the draft parking resolution from CAB.  Her only comment was a public hearing would be announced soon and at that point anyone can go and let their concerns be known.  When pressed on the distinction between the “parking fund” being self-sufficient and/or “parking and commuter services” being self-sufficient, Cutshaw said she would forward the proper documentation to CAB.  When asked about the differential rates for students and faculty, Cutshaw would not confirm that this was her idea but was willing to say that we are here to support students and that she was not opposed to the differential rates.  At this point VCAFO left the meeting.</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K. Cutshaw will provide CAB with documentation showing whether it is the revolving fund or the parking office itself that needs to be self-sustaining.</w:t>
            </w:r>
          </w:p>
        </w:tc>
      </w:tr>
      <w:tr>
        <w:trPr>
          <w:cantSplit w:val="0"/>
          <w:trHeight w:val="460" w:hRule="atLeast"/>
          <w:tblHeader w:val="0"/>
        </w:trPr>
        <w:tc>
          <w:tcPr/>
          <w:p w:rsidR="00000000" w:rsidDel="00000000" w:rsidP="00000000" w:rsidRDefault="00000000" w:rsidRPr="00000000" w14:paraId="0000004B">
            <w:pPr>
              <w:pageBreakBefore w:val="0"/>
              <w:rPr>
                <w:b w:val="1"/>
                <w:sz w:val="20"/>
                <w:szCs w:val="20"/>
              </w:rPr>
            </w:pPr>
            <w:r w:rsidDel="00000000" w:rsidR="00000000" w:rsidRPr="00000000">
              <w:rPr>
                <w:b w:val="1"/>
                <w:sz w:val="20"/>
                <w:szCs w:val="20"/>
                <w:rtl w:val="0"/>
              </w:rPr>
              <w:t xml:space="preserve">PARKING RESOLUTION</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CAB voted unanimously to forward the resolution on parking to the Senate.</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R. Paull will talk with D. Chin to determine who will present to the Senate.</w:t>
            </w:r>
          </w:p>
        </w:tc>
      </w:tr>
      <w:tr>
        <w:trPr>
          <w:cantSplit w:val="0"/>
          <w:trHeight w:val="46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DISCUSSION OF ORS RE-ORG</w:t>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There was brief discussion about the proposal to re-organize ORS.  One area of concern was the ORS claim of no additional costs, but the number of affected positions was long.  There was further discussion about the myGrant process and how ideally there would be more support for grant preparation and submission.</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CAB will continue to review the ORS proposal.</w:t>
            </w:r>
          </w:p>
        </w:tc>
      </w:tr>
      <w:tr>
        <w:trPr>
          <w:cantSplit w:val="0"/>
          <w:trHeight w:val="46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revised minutes were passed.</w:t>
            </w:r>
          </w:p>
        </w:tc>
        <w:tc>
          <w:tcPr/>
          <w:p w:rsidR="00000000" w:rsidDel="00000000" w:rsidP="00000000" w:rsidRDefault="00000000" w:rsidRPr="00000000" w14:paraId="00000053">
            <w:pPr>
              <w:pageBreakBefore w:val="0"/>
              <w:rPr>
                <w:sz w:val="22"/>
                <w:szCs w:val="22"/>
              </w:rPr>
            </w:pPr>
            <w:r w:rsidDel="00000000" w:rsidR="00000000" w:rsidRPr="00000000">
              <w:rPr>
                <w:rtl w:val="0"/>
              </w:rPr>
            </w:r>
          </w:p>
        </w:tc>
      </w:tr>
      <w:tr>
        <w:trPr>
          <w:cantSplit w:val="0"/>
          <w:trHeight w:val="46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5">
            <w:pPr>
              <w:pageBreakBefore w:val="0"/>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R. Paull adjourned the meeting at 09:15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pageBreakBefore w:val="0"/>
              <w:rPr>
                <w:sz w:val="22"/>
                <w:szCs w:val="22"/>
              </w:rPr>
            </w:pPr>
            <w:r w:rsidDel="00000000" w:rsidR="00000000" w:rsidRPr="00000000">
              <w:rPr>
                <w:rtl w:val="0"/>
              </w:rPr>
            </w:r>
          </w:p>
        </w:tc>
      </w:tr>
    </w:tbl>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rtl w:val="0"/>
        </w:rPr>
        <w:t xml:space="preserve">Jim Potemra</w:t>
      </w: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Approved on </w:t>
      </w:r>
      <w:r w:rsidDel="00000000" w:rsidR="00000000" w:rsidRPr="00000000">
        <w:rPr>
          <w:color w:val="000000"/>
          <w:sz w:val="22"/>
          <w:szCs w:val="22"/>
          <w:rtl w:val="0"/>
        </w:rPr>
        <w:t xml:space="preserve">25 April 2014</w:t>
      </w:r>
      <w:r w:rsidDel="00000000" w:rsidR="00000000" w:rsidRPr="00000000">
        <w:rPr>
          <w:sz w:val="22"/>
          <w:szCs w:val="22"/>
          <w:rtl w:val="0"/>
        </w:rPr>
        <w:t xml:space="preserve"> with </w:t>
      </w:r>
      <w:r w:rsidDel="00000000" w:rsidR="00000000" w:rsidRPr="00000000">
        <w:rPr>
          <w:color w:val="000000"/>
          <w:sz w:val="22"/>
          <w:szCs w:val="22"/>
          <w:rtl w:val="0"/>
        </w:rPr>
        <w:t xml:space="preserve">7</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0</w:t>
      </w:r>
      <w:r w:rsidDel="00000000" w:rsidR="00000000" w:rsidRPr="00000000">
        <w:rPr>
          <w:sz w:val="22"/>
          <w:szCs w:val="22"/>
          <w:rtl w:val="0"/>
        </w:rPr>
        <w:t xml:space="preserve"> against.</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