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January 5, 2015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Ann M. Sakaguchi, Chair</w:t>
      </w:r>
    </w:p>
    <w:p w:rsidR="00000000" w:rsidDel="00000000" w:rsidP="00000000" w:rsidRDefault="00000000" w:rsidRPr="00000000" w14:paraId="00000005">
      <w:pPr>
        <w:pageBreakBefore w:val="0"/>
        <w:rPr/>
      </w:pPr>
      <w:r w:rsidDel="00000000" w:rsidR="00000000" w:rsidRPr="00000000">
        <w:rPr>
          <w:rtl w:val="0"/>
        </w:rPr>
        <w:t xml:space="preserve">Re:</w:t>
        <w:tab/>
        <w:t xml:space="preserve">Committee on Administration and Budget (CAB) Fall Report 2014</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CAB met 8 times during Fall 2014 on 9/2, 9/10, 9/24, 10/22, 10/29, 11/5, 11/12 and 11/26. The Committee included: Michael Angelo, Daniel Boulos, David Chin, Thomas Conway, Brian Glazer, Rosanne Harrigan, Bonnyjean Manini, Paul McKimmy, and James Potemra. James Potemra served as Secretary, Paul McKimmy served as Vice-Chair, and Ann Sakaguchi served as Chair. Doug Vincent served as the SEC Liaison. The Chair thanks the Committee, Doug Vincent for serving as the SEC Liaison, Paul McKimmy for serving as Vice-Chair, and Jim Potemra for expertly keeping the minutes.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CAB discussed all open issues assigned to CAB.  CAB met with VCAFO Kathy Cutshaw and Interim Chancellor Robert Bley-Vroman to discuss the budgetary situation.  CAB Chair was appointed to the Chancellor’s Budget Task Force (BTF) by the Chancellor so CAB can "shadow" proceedings of the task force and to field proposals of its own.   CAB addressed the following issues: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37.12 </w:t>
      </w:r>
      <w:r w:rsidDel="00000000" w:rsidR="00000000" w:rsidRPr="00000000">
        <w:rPr>
          <w:rtl w:val="0"/>
        </w:rPr>
        <w:t xml:space="preserve">  </w:t>
      </w:r>
      <w:r w:rsidDel="00000000" w:rsidR="00000000" w:rsidRPr="00000000">
        <w:rPr>
          <w:b w:val="1"/>
          <w:rtl w:val="0"/>
        </w:rPr>
        <w:t xml:space="preserve">Student Athletic Fee:  </w:t>
      </w:r>
      <w:r w:rsidDel="00000000" w:rsidR="00000000" w:rsidRPr="00000000">
        <w:rPr>
          <w:rtl w:val="0"/>
        </w:rPr>
        <w:t xml:space="preserve">Issue was moved</w:t>
      </w:r>
      <w:r w:rsidDel="00000000" w:rsidR="00000000" w:rsidRPr="00000000">
        <w:rPr>
          <w:b w:val="1"/>
          <w:rtl w:val="0"/>
        </w:rPr>
        <w:t xml:space="preserve"> </w:t>
      </w:r>
      <w:r w:rsidDel="00000000" w:rsidR="00000000" w:rsidRPr="00000000">
        <w:rPr>
          <w:rtl w:val="0"/>
        </w:rPr>
        <w:t xml:space="preserve">to be closed.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52.12   Review of Closure of Facilities:  </w:t>
      </w:r>
      <w:r w:rsidDel="00000000" w:rsidR="00000000" w:rsidRPr="00000000">
        <w:rPr>
          <w:rtl w:val="0"/>
        </w:rPr>
        <w:t xml:space="preserve">This will be followed up by SEC; motion was passed, CAB will request decision in writing.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5.13   Faculty Hiring: </w:t>
      </w:r>
      <w:r w:rsidDel="00000000" w:rsidR="00000000" w:rsidRPr="00000000">
        <w:rPr>
          <w:rtl w:val="0"/>
        </w:rPr>
        <w:t xml:space="preserve">CPM made a motion before the Manoa Faculty Senate at the May 2014 meeting of MFS to ask the chancellor to provide data related to tenure track vs. non-tenure track faculty and ratio of courses being taught by tenure track vs. non-tenure track faculty at Manoa. The purpose of this motion was to encourage the chancellor to maintain or increase the tenure track corps of faculty at UHM in order to keep our degree programs and rankings strong. The motion passed.  However, no data was provided to CPM and CPM has requested assistance from CAB.  CAB moved to discuss this issue in Spring 2015.</w:t>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76.12 Parking Rate Schedule: </w:t>
      </w:r>
      <w:r w:rsidDel="00000000" w:rsidR="00000000" w:rsidRPr="00000000">
        <w:rPr>
          <w:rtl w:val="0"/>
        </w:rPr>
        <w:t xml:space="preserve">CAB reviewed the proposed increase in parking rates and fines last semester and the proposed rate increase was not enacted.  CAB asked VCAFO for notification of date when public forum will be held.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26.14 Reorganization Proposal – College of Social Sciences:  </w:t>
      </w:r>
      <w:r w:rsidDel="00000000" w:rsidR="00000000" w:rsidRPr="00000000">
        <w:rPr>
          <w:rtl w:val="0"/>
        </w:rPr>
        <w:t xml:space="preserve">CAB reviewed the reorganization proposal and brought a resolution to the Senate recommending rejection. SEC addressed part of this over the summer with a possibility that a revised reorganization may come from CSS to CAB again.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16.13</w:t>
      </w:r>
      <w:r w:rsidDel="00000000" w:rsidR="00000000" w:rsidRPr="00000000">
        <w:rPr>
          <w:rtl w:val="0"/>
        </w:rPr>
        <w:t xml:space="preserve"> </w:t>
      </w:r>
      <w:r w:rsidDel="00000000" w:rsidR="00000000" w:rsidRPr="00000000">
        <w:rPr>
          <w:b w:val="1"/>
          <w:rtl w:val="0"/>
        </w:rPr>
        <w:t xml:space="preserve">Funding for Athletics</w:t>
      </w:r>
      <w:r w:rsidDel="00000000" w:rsidR="00000000" w:rsidRPr="00000000">
        <w:rPr>
          <w:rtl w:val="0"/>
        </w:rPr>
        <w:t xml:space="preserve">:  CAB discussed many aspects of this and agreed to propose a method of UH/community shared responsibility for supporting athletics.  P. McKimmy drafted a statement which was unanimously approved by CAB.</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7.15 Budget Distribution Models</w:t>
      </w:r>
      <w:r w:rsidDel="00000000" w:rsidR="00000000" w:rsidRPr="00000000">
        <w:rPr>
          <w:rtl w:val="0"/>
        </w:rPr>
        <w:t xml:space="preserve">:  CAB was requested to "shadow" proceedings of the budget task force and to field proposals of its own.   CAB met weekly to develop its proposal and drafted a </w:t>
      </w:r>
      <w:r w:rsidDel="00000000" w:rsidR="00000000" w:rsidRPr="00000000">
        <w:rPr>
          <w:u w:val="single"/>
          <w:rtl w:val="0"/>
        </w:rPr>
        <w:t xml:space="preserve">Resolution Encouraging Adoption of a Responsibility Center Management (RCM) Approach as a Basis for Tuition and Fees Special Funds and General Fund Allocation at UHM</w:t>
      </w:r>
      <w:r w:rsidDel="00000000" w:rsidR="00000000" w:rsidRPr="00000000">
        <w:rPr>
          <w:rtl w:val="0"/>
        </w:rPr>
        <w:t xml:space="preserve">. David Chin gave a presentation on Responsibility Center (RCM) model at the 11/19/14 MFS meeting. The resolution passed 38:12, 3 abstain</w:t>
      </w:r>
    </w:p>
    <w:p w:rsidR="00000000" w:rsidDel="00000000" w:rsidP="00000000" w:rsidRDefault="00000000" w:rsidRPr="00000000" w14:paraId="00000018">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1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