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26 Nov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ind w:right="-108"/>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ind w:right="-108"/>
              <w:rPr>
                <w:sz w:val="22"/>
                <w:szCs w:val="22"/>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A. Sakaguchi called the meeting to order at 10:04.</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RECAP OF BUDGET DISCUSSIONS</w:t>
            </w:r>
          </w:p>
        </w:tc>
        <w:tc>
          <w:tcPr/>
          <w:p w:rsidR="00000000" w:rsidDel="00000000" w:rsidP="00000000" w:rsidRDefault="00000000" w:rsidRPr="00000000" w14:paraId="00000038">
            <w:pPr>
              <w:pageBreakBefore w:val="0"/>
              <w:rPr>
                <w:sz w:val="22"/>
                <w:szCs w:val="22"/>
              </w:rPr>
            </w:pPr>
            <w:r w:rsidDel="00000000" w:rsidR="00000000" w:rsidRPr="00000000">
              <w:rPr>
                <w:sz w:val="22"/>
                <w:szCs w:val="22"/>
                <w:rtl w:val="0"/>
              </w:rPr>
              <w:t xml:space="preserve">CAB discussed the on-going situation with the UHM budget allocation process.  A.  Sakaguchi confirmed the report in the Honolulu StarAdvertiser that the Budget Task Force (BTF) voted to recommend the chancellor to adopt the “Cutshaw/Dasenbrock” plan to allocate G- and S-funds based on a fixed percentage.  This will be used for the upcoming fiscal year allocations, and CAB struggled to find any differences between the future allocations and current/past allocations; it appeared to CAB that the CD plan was simply “business as usual”.  The CD plan will be in place for one year, and during this time the BTF will investigate different allocation models and will split into three groups, each targeting a different model.</w:t>
            </w:r>
          </w:p>
        </w:tc>
        <w:tc>
          <w:tcPr/>
          <w:p w:rsidR="00000000" w:rsidDel="00000000" w:rsidP="00000000" w:rsidRDefault="00000000" w:rsidRPr="00000000" w14:paraId="00000039">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CAB NEXT STEPS</w:t>
            </w:r>
          </w:p>
        </w:tc>
        <w:tc>
          <w:tcPr/>
          <w:p w:rsidR="00000000" w:rsidDel="00000000" w:rsidP="00000000" w:rsidRDefault="00000000" w:rsidRPr="00000000" w14:paraId="0000003B">
            <w:pPr>
              <w:pageBreakBefore w:val="0"/>
              <w:rPr>
                <w:sz w:val="22"/>
                <w:szCs w:val="22"/>
              </w:rPr>
            </w:pPr>
            <w:r w:rsidDel="00000000" w:rsidR="00000000" w:rsidRPr="00000000">
              <w:rPr>
                <w:sz w:val="22"/>
                <w:szCs w:val="22"/>
                <w:rtl w:val="0"/>
              </w:rPr>
              <w:t xml:space="preserve">CAB discussed the appropriate next steps for the committee.  It was decided that CAB should continue to push for data on fiscal matters, including revenues, allocations, staffing, etc.  It was agreed that financial reporting abilities in UH are woefully inadequate.</w:t>
            </w:r>
          </w:p>
        </w:tc>
        <w:tc>
          <w:tcPr/>
          <w:p w:rsidR="00000000" w:rsidDel="00000000" w:rsidP="00000000" w:rsidRDefault="00000000" w:rsidRPr="00000000" w14:paraId="0000003C">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The minutes from the last CAB meeting (11/12) were unanimously approved.</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41">
            <w:pPr>
              <w:pageBreakBefore w:val="0"/>
              <w:rPr>
                <w:sz w:val="22"/>
                <w:szCs w:val="22"/>
              </w:rPr>
            </w:pPr>
            <w:r w:rsidDel="00000000" w:rsidR="00000000" w:rsidRPr="00000000">
              <w:rPr>
                <w:sz w:val="22"/>
                <w:szCs w:val="22"/>
                <w:rtl w:val="0"/>
              </w:rPr>
              <w:t xml:space="preserve">A. Sakaguchi adjourned the meeting at 11:05.</w:t>
            </w:r>
          </w:p>
        </w:tc>
        <w:tc>
          <w:tcPr/>
          <w:p w:rsidR="00000000" w:rsidDel="00000000" w:rsidP="00000000" w:rsidRDefault="00000000" w:rsidRPr="00000000" w14:paraId="00000042">
            <w:pPr>
              <w:pageBreakBefore w:val="0"/>
              <w:rPr>
                <w:sz w:val="22"/>
                <w:szCs w:val="22"/>
              </w:rPr>
            </w:pPr>
            <w:r w:rsidDel="00000000" w:rsidR="00000000" w:rsidRPr="00000000">
              <w:rPr>
                <w:rtl w:val="0"/>
              </w:rPr>
            </w:r>
          </w:p>
        </w:tc>
      </w:tr>
    </w:tbl>
    <w:p w:rsidR="00000000" w:rsidDel="00000000" w:rsidP="00000000" w:rsidRDefault="00000000" w:rsidRPr="00000000" w14:paraId="00000043">
      <w:pPr>
        <w:pageBreakBefore w:val="0"/>
        <w:rPr>
          <w:sz w:val="22"/>
          <w:szCs w:val="22"/>
        </w:rPr>
      </w:pPr>
      <w:r w:rsidDel="00000000" w:rsidR="00000000" w:rsidRPr="00000000">
        <w:rPr>
          <w:sz w:val="22"/>
          <w:szCs w:val="22"/>
          <w:rtl w:val="0"/>
        </w:rPr>
        <w:t xml:space="preserve">Respectfully submitted by Jim Potemra</w:t>
      </w:r>
    </w:p>
    <w:p w:rsidR="00000000" w:rsidDel="00000000" w:rsidP="00000000" w:rsidRDefault="00000000" w:rsidRPr="00000000" w14:paraId="00000044">
      <w:pPr>
        <w:pageBreakBefore w:val="0"/>
        <w:rPr>
          <w:sz w:val="22"/>
          <w:szCs w:val="22"/>
        </w:rPr>
      </w:pPr>
      <w:r w:rsidDel="00000000" w:rsidR="00000000" w:rsidRPr="00000000">
        <w:rPr>
          <w:sz w:val="22"/>
          <w:szCs w:val="22"/>
          <w:rtl w:val="0"/>
        </w:rPr>
        <w:t xml:space="preserve">Approved on 28 Jan 2015 with 7 votes in favor of approval and 0 against.</w:t>
      </w:r>
    </w:p>
    <w:p w:rsidR="00000000" w:rsidDel="00000000" w:rsidP="00000000" w:rsidRDefault="00000000" w:rsidRPr="00000000" w14:paraId="00000045">
      <w:pPr>
        <w:pageBreakBefore w:val="0"/>
        <w:ind w:left="720" w:firstLine="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4A">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