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28 Jan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BONTEKOE, Ron</w:t>
            </w:r>
          </w:p>
        </w:tc>
        <w:tc>
          <w:tcPr>
            <w:tcBorders>
              <w:bottom w:color="000000" w:space="0" w:sz="4" w:val="single"/>
            </w:tcBorders>
          </w:tcPr>
          <w:p w:rsidR="00000000" w:rsidDel="00000000" w:rsidP="00000000" w:rsidRDefault="00000000" w:rsidRPr="00000000" w14:paraId="00000017">
            <w:pPr>
              <w:pageBreakBefore w:val="0"/>
              <w:ind w:right="-108"/>
              <w:rPr>
                <w:sz w:val="22"/>
                <w:szCs w:val="22"/>
              </w:rPr>
            </w:pPr>
            <w:r w:rsidDel="00000000" w:rsidR="00000000" w:rsidRPr="00000000">
              <w:rPr>
                <w:sz w:val="22"/>
                <w:szCs w:val="22"/>
                <w:rtl w:val="0"/>
              </w:rPr>
              <w:t xml:space="preserve">9:30-10:00</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tcBorders>
              <w:bottom w:color="000000" w:space="0" w:sz="0" w:val="nil"/>
            </w:tcBorders>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STEPHENSON,</w:t>
            </w:r>
          </w:p>
        </w:tc>
        <w:tc>
          <w:tcPr>
            <w:tcBorders>
              <w:bottom w:color="000000" w:space="0" w:sz="0" w:val="nil"/>
            </w:tcBorders>
          </w:tcPr>
          <w:p w:rsidR="00000000" w:rsidDel="00000000" w:rsidP="00000000" w:rsidRDefault="00000000" w:rsidRPr="00000000" w14:paraId="0000001F">
            <w:pPr>
              <w:pageBreakBefore w:val="0"/>
              <w:ind w:right="-108"/>
              <w:rPr>
                <w:sz w:val="22"/>
                <w:szCs w:val="22"/>
              </w:rPr>
            </w:pPr>
            <w:r w:rsidDel="00000000" w:rsidR="00000000" w:rsidRPr="00000000">
              <w:rPr>
                <w:sz w:val="22"/>
                <w:szCs w:val="22"/>
                <w:rtl w:val="0"/>
              </w:rPr>
              <w:t xml:space="preserve">9:30-10:45</w:t>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tcBorders>
              <w:top w:color="000000" w:space="0" w:sz="0" w:val="nil"/>
            </w:tcBorders>
          </w:tcPr>
          <w:p w:rsidR="00000000" w:rsidDel="00000000" w:rsidP="00000000" w:rsidRDefault="00000000" w:rsidRPr="00000000" w14:paraId="00000026">
            <w:pPr>
              <w:pageBreakBefore w:val="0"/>
              <w:rPr>
                <w:sz w:val="22"/>
                <w:szCs w:val="22"/>
              </w:rPr>
            </w:pPr>
            <w:r w:rsidDel="00000000" w:rsidR="00000000" w:rsidRPr="00000000">
              <w:rPr>
                <w:sz w:val="22"/>
                <w:szCs w:val="22"/>
                <w:rtl w:val="0"/>
              </w:rPr>
              <w:t xml:space="preserve">Carolyn</w:t>
            </w:r>
          </w:p>
        </w:tc>
        <w:tc>
          <w:tcPr>
            <w:tcBorders>
              <w:top w:color="000000" w:space="0" w:sz="0" w:val="nil"/>
            </w:tcBorders>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9:32.</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PROPOSED REORG OF CoRGE and GRAD DIVISION</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R. Bontekoe (RB), SEC Chair, outlined a proposal to change the way the UHMFS interacts with the Graduate Council (GC).  RB gave the history of the issues surrounding this proposed change, some of which date back several years.  The underlying motivation is to have the SEC more involved in the GC.  At present there are two problems.  First, it is difficult to get qualified members to fill both CoRGE and the GC.  Second, the existing process for making changes in graduate programs is cumbersome, and includes several steps, i.e., Dean to advisory committee, advisory committee to GC, GC to CoRGE, CoRGE to the Senate.  RB met with the Graduate Dean, Krystyna Aune, to propose a potential solution.  This included SEC proposing liaisons to the GC who would act as Chairs for the program subcommittees.  This would eliminate some steps described above and allow for faster proposed changes to reach the UHMFS.  It would also re-align CoRGE to be more like the current UHM administration, e.g., similar to how the VCAA took on graduate education from the then-VCRGE.  RB then distributed a proposed resolution for CAB to consider and left the meeting while CAB deliberated.  It seemed to CAB that given the short turn-around required, and given that the SEC (specifically RB) had put a lot of time into this issue and seems to have arrived at a solution, it made more sense for the resolution to come directly from the SEC.  It was also noted that the proposed change would require a change in the Senate by-laws.  A motion was then made that since CAB was unfamiliar with many of the issues and implications of the resolution and since the SEC has obviously thought about this for a while, CAB would send the resolution back to the SEC with the recommendation that they present it to the Senate as a resolution from the SEC. The motion passed unanimously.</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A motion was made: since CAB is unfamiliar with many of the issues and implications of the resolution, and since the SEC has obviously thought about this for a while, CAB is sending the resolution back to the SEC with the recommendation that they present it to the Senate as a resolution.</w:t>
            </w:r>
          </w:p>
          <w:p w:rsidR="00000000" w:rsidDel="00000000" w:rsidP="00000000" w:rsidRDefault="00000000" w:rsidRPr="00000000" w14:paraId="0000003B">
            <w:pPr>
              <w:pageBreakBefore w:val="0"/>
              <w:rPr>
                <w:sz w:val="22"/>
                <w:szCs w:val="22"/>
              </w:rPr>
            </w:pPr>
            <w:r w:rsidDel="00000000" w:rsidR="00000000" w:rsidRPr="00000000">
              <w:rPr>
                <w:rtl w:val="0"/>
              </w:rPr>
            </w:r>
          </w:p>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D. Vincent to inform the SEC that the resolution was passed back the SEC for them to present to the Senate.</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PROPOSED CHANGES TO PARKING RATE</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CAB spent time during the previous semester addressing a proposed change to parking rates.  CAB’s concerns about parking rates, including that they do not truly reflecting the cost of parking due to various subsidies, etc. were put into a resolution that ultimately was passed by the Senate.  The issue arose again due to the announcement of an upcoming public hearing on the matter (to be held March 6</w:t>
            </w:r>
            <w:r w:rsidDel="00000000" w:rsidR="00000000" w:rsidRPr="00000000">
              <w:rPr>
                <w:sz w:val="22"/>
                <w:szCs w:val="22"/>
                <w:vertAlign w:val="superscript"/>
                <w:rtl w:val="0"/>
              </w:rPr>
              <w:t xml:space="preserve">th</w:t>
            </w:r>
            <w:r w:rsidDel="00000000" w:rsidR="00000000" w:rsidRPr="00000000">
              <w:rPr>
                <w:sz w:val="22"/>
                <w:szCs w:val="22"/>
                <w:rtl w:val="0"/>
              </w:rPr>
              <w:t xml:space="preserve">, location unknown at this point).  CAB had not received notice from the VCAFO as to whether the proposal given to CAB last semester would be the same as that put forward at the public hearing or whether the issues raised in CAB’s resolution had been addresses.  It was also unclear whether the budget numbers (e.g., cost for the shuttle) were the same as given last year.  CAB invited the VCAFO to attend the next CAB meeting (2/11) to discuss further.</w:t>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A. Sakaguchi to collect questions from CAB members to forward to the VCAFO prior to next CAB meeting.</w:t>
            </w:r>
          </w:p>
        </w:tc>
      </w:tr>
      <w:tr>
        <w:trPr>
          <w:cantSplit w:val="0"/>
          <w:trHeight w:val="5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PROPOSED REORG OF CASSAS</w:t>
            </w:r>
          </w:p>
        </w:tc>
        <w:tc>
          <w:tcPr/>
          <w:p w:rsidR="00000000" w:rsidDel="00000000" w:rsidP="00000000" w:rsidRDefault="00000000" w:rsidRPr="00000000" w14:paraId="00000041">
            <w:pPr>
              <w:pageBreakBefore w:val="0"/>
              <w:rPr>
                <w:sz w:val="22"/>
                <w:szCs w:val="22"/>
              </w:rPr>
            </w:pPr>
            <w:r w:rsidDel="00000000" w:rsidR="00000000" w:rsidRPr="00000000">
              <w:rPr>
                <w:sz w:val="22"/>
                <w:szCs w:val="22"/>
                <w:rtl w:val="0"/>
              </w:rPr>
              <w:t xml:space="preserve">Due to time constraints this issue was not discussed, however AS asked CAB members to review the submitted documents and consider serving on a subcommittee to formulate a response.</w:t>
            </w:r>
          </w:p>
        </w:tc>
        <w:tc>
          <w:tcPr/>
          <w:p w:rsidR="00000000" w:rsidDel="00000000" w:rsidP="00000000" w:rsidRDefault="00000000" w:rsidRPr="00000000" w14:paraId="00000042">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4">
            <w:pPr>
              <w:pageBreakBefore w:val="0"/>
              <w:rPr>
                <w:sz w:val="22"/>
                <w:szCs w:val="22"/>
              </w:rPr>
            </w:pPr>
            <w:r w:rsidDel="00000000" w:rsidR="00000000" w:rsidRPr="00000000">
              <w:rPr>
                <w:sz w:val="22"/>
                <w:szCs w:val="22"/>
                <w:rtl w:val="0"/>
              </w:rPr>
              <w:t xml:space="preserve">The minutes from the last two CAB meetings (11/26 and 01/07) were unanimously approved.</w:t>
            </w:r>
          </w:p>
        </w:tc>
        <w:tc>
          <w:tcPr/>
          <w:p w:rsidR="00000000" w:rsidDel="00000000" w:rsidP="00000000" w:rsidRDefault="00000000" w:rsidRPr="00000000" w14:paraId="00000045">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47">
            <w:pPr>
              <w:pageBreakBefore w:val="0"/>
              <w:rPr>
                <w:sz w:val="22"/>
                <w:szCs w:val="22"/>
              </w:rPr>
            </w:pPr>
            <w:r w:rsidDel="00000000" w:rsidR="00000000" w:rsidRPr="00000000">
              <w:rPr>
                <w:sz w:val="22"/>
                <w:szCs w:val="22"/>
                <w:rtl w:val="0"/>
              </w:rPr>
              <w:t xml:space="preserve">A. Sakaguchi adjourned the meeting at 10:45.</w:t>
            </w:r>
          </w:p>
        </w:tc>
        <w:tc>
          <w:tcPr/>
          <w:p w:rsidR="00000000" w:rsidDel="00000000" w:rsidP="00000000" w:rsidRDefault="00000000" w:rsidRPr="00000000" w14:paraId="00000048">
            <w:pPr>
              <w:pageBreakBefore w:val="0"/>
              <w:rPr>
                <w:sz w:val="22"/>
                <w:szCs w:val="22"/>
              </w:rPr>
            </w:pPr>
            <w:r w:rsidDel="00000000" w:rsidR="00000000" w:rsidRPr="00000000">
              <w:rPr>
                <w:rtl w:val="0"/>
              </w:rPr>
            </w:r>
          </w:p>
        </w:tc>
      </w:tr>
    </w:tbl>
    <w:p w:rsidR="00000000" w:rsidDel="00000000" w:rsidP="00000000" w:rsidRDefault="00000000" w:rsidRPr="00000000" w14:paraId="00000049">
      <w:pPr>
        <w:pageBreakBefore w:val="0"/>
        <w:rPr>
          <w:sz w:val="22"/>
          <w:szCs w:val="22"/>
        </w:rPr>
      </w:pPr>
      <w:r w:rsidDel="00000000" w:rsidR="00000000" w:rsidRPr="00000000">
        <w:rPr>
          <w:rtl w:val="0"/>
        </w:rPr>
      </w:r>
    </w:p>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Respectfully submitted by Jim Potemra</w:t>
      </w:r>
    </w:p>
    <w:p w:rsidR="00000000" w:rsidDel="00000000" w:rsidP="00000000" w:rsidRDefault="00000000" w:rsidRPr="00000000" w14:paraId="0000004B">
      <w:pPr>
        <w:pageBreakBefore w:val="0"/>
        <w:rPr>
          <w:sz w:val="22"/>
          <w:szCs w:val="22"/>
        </w:rPr>
      </w:pPr>
      <w:r w:rsidDel="00000000" w:rsidR="00000000" w:rsidRPr="00000000">
        <w:rPr>
          <w:sz w:val="22"/>
          <w:szCs w:val="22"/>
          <w:rtl w:val="0"/>
        </w:rPr>
        <w:t xml:space="preserve">Approved on  February 11, 2015 with 9 votes in favor of approval and 0 against.</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1">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