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11 Mar 2015</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360"/>
        <w:gridCol w:w="2250"/>
        <w:gridCol w:w="360"/>
        <w:gridCol w:w="2070"/>
        <w:gridCol w:w="360"/>
        <w:gridCol w:w="1980"/>
        <w:gridCol w:w="1260"/>
        <w:tblGridChange w:id="0">
          <w:tblGrid>
            <w:gridCol w:w="2088"/>
            <w:gridCol w:w="360"/>
            <w:gridCol w:w="2250"/>
            <w:gridCol w:w="360"/>
            <w:gridCol w:w="2070"/>
            <w:gridCol w:w="360"/>
            <w:gridCol w:w="1980"/>
            <w:gridCol w:w="126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ANGELO, Michael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GLAZER, Brian</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tcBorders>
              <w:bottom w:color="000000" w:space="0" w:sz="4" w:val="single"/>
            </w:tcBorders>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BINGHAM, Ruth</w:t>
            </w:r>
          </w:p>
        </w:tc>
        <w:tc>
          <w:tcPr>
            <w:tcBorders>
              <w:bottom w:color="000000" w:space="0" w:sz="4" w:val="single"/>
            </w:tcBorders>
          </w:tcPr>
          <w:p w:rsidR="00000000" w:rsidDel="00000000" w:rsidP="00000000" w:rsidRDefault="00000000" w:rsidRPr="00000000" w14:paraId="00000017">
            <w:pPr>
              <w:pageBreakBefore w:val="0"/>
              <w:ind w:right="-108"/>
              <w:rPr>
                <w:sz w:val="22"/>
                <w:szCs w:val="22"/>
              </w:rPr>
            </w:pPr>
            <w:r w:rsidDel="00000000" w:rsidR="00000000" w:rsidRPr="00000000">
              <w:rPr>
                <w:sz w:val="22"/>
                <w:szCs w:val="22"/>
                <w:rtl w:val="0"/>
              </w:rPr>
              <w:t xml:space="preserve">9:30-10:20</w:t>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tcBorders>
              <w:bottom w:color="000000" w:space="0" w:sz="4" w:val="single"/>
            </w:tcBorders>
          </w:tcPr>
          <w:p w:rsidR="00000000" w:rsidDel="00000000" w:rsidP="00000000" w:rsidRDefault="00000000" w:rsidRPr="00000000" w14:paraId="0000001E">
            <w:pPr>
              <w:pageBreakBefore w:val="0"/>
              <w:rPr>
                <w:sz w:val="22"/>
                <w:szCs w:val="22"/>
              </w:rPr>
            </w:pPr>
            <w:r w:rsidDel="00000000" w:rsidR="00000000" w:rsidRPr="00000000">
              <w:rPr>
                <w:sz w:val="22"/>
                <w:szCs w:val="22"/>
                <w:rtl w:val="0"/>
              </w:rPr>
              <w:t xml:space="preserve">KRAFT-TERRY, Stephanie</w:t>
            </w:r>
          </w:p>
        </w:tc>
        <w:tc>
          <w:tcPr>
            <w:tcBorders>
              <w:bottom w:color="000000" w:space="0" w:sz="4" w:val="single"/>
            </w:tcBorders>
          </w:tcPr>
          <w:p w:rsidR="00000000" w:rsidDel="00000000" w:rsidP="00000000" w:rsidRDefault="00000000" w:rsidRPr="00000000" w14:paraId="0000001F">
            <w:pPr>
              <w:pageBreakBefore w:val="0"/>
              <w:ind w:right="-108"/>
              <w:rPr>
                <w:sz w:val="22"/>
                <w:szCs w:val="22"/>
              </w:rPr>
            </w:pPr>
            <w:r w:rsidDel="00000000" w:rsidR="00000000" w:rsidRPr="00000000">
              <w:rPr>
                <w:sz w:val="22"/>
                <w:szCs w:val="22"/>
                <w:rtl w:val="0"/>
              </w:rPr>
              <w:t xml:space="preserve">9:30-10:20</w:t>
            </w:r>
          </w:p>
        </w:tc>
      </w:tr>
      <w:tr>
        <w:trPr>
          <w:cantSplit w:val="0"/>
          <w:trHeight w:val="1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E</w:t>
            </w:r>
          </w:p>
        </w:tc>
        <w:tc>
          <w:tcPr>
            <w:tcBorders>
              <w:top w:color="000000" w:space="0" w:sz="4" w:val="single"/>
            </w:tcBorders>
          </w:tcPr>
          <w:p w:rsidR="00000000" w:rsidDel="00000000" w:rsidP="00000000" w:rsidRDefault="00000000" w:rsidRPr="00000000" w14:paraId="00000026">
            <w:pPr>
              <w:pageBreakBefore w:val="0"/>
              <w:rPr>
                <w:sz w:val="22"/>
                <w:szCs w:val="22"/>
              </w:rPr>
            </w:pPr>
            <w:r w:rsidDel="00000000" w:rsidR="00000000" w:rsidRPr="00000000">
              <w:rPr>
                <w:sz w:val="22"/>
                <w:szCs w:val="22"/>
                <w:rtl w:val="0"/>
              </w:rPr>
              <w:t xml:space="preserve">BEAULE, Christine</w:t>
            </w:r>
          </w:p>
        </w:tc>
        <w:tc>
          <w:tcPr>
            <w:tcBorders>
              <w:top w:color="000000" w:space="0" w:sz="4" w:val="single"/>
            </w:tcBorders>
          </w:tcPr>
          <w:p w:rsidR="00000000" w:rsidDel="00000000" w:rsidP="00000000" w:rsidRDefault="00000000" w:rsidRPr="00000000" w14:paraId="00000027">
            <w:pPr>
              <w:pageBreakBefore w:val="0"/>
              <w:rPr>
                <w:sz w:val="22"/>
                <w:szCs w:val="22"/>
              </w:rPr>
            </w:pPr>
            <w:r w:rsidDel="00000000" w:rsidR="00000000" w:rsidRPr="00000000">
              <w:rPr>
                <w:sz w:val="22"/>
                <w:szCs w:val="22"/>
                <w:rtl w:val="0"/>
              </w:rPr>
              <w:t xml:space="preserve">9:30-10:20</w:t>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MCKIMMY, Paul</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p w:rsidR="00000000" w:rsidDel="00000000" w:rsidP="00000000" w:rsidRDefault="00000000" w:rsidRPr="00000000" w14:paraId="00000031">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5">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A. Sakaguchi called the meeting to order at 9:35.</w:t>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8">
            <w:pPr>
              <w:pageBreakBefore w:val="0"/>
              <w:rPr>
                <w:b w:val="1"/>
                <w:sz w:val="20"/>
                <w:szCs w:val="20"/>
              </w:rPr>
            </w:pPr>
            <w:r w:rsidDel="00000000" w:rsidR="00000000" w:rsidRPr="00000000">
              <w:rPr>
                <w:b w:val="1"/>
                <w:sz w:val="20"/>
                <w:szCs w:val="20"/>
                <w:rtl w:val="0"/>
              </w:rPr>
              <w:t xml:space="preserve">CASSAS REORG PROPOSAL</w:t>
            </w:r>
          </w:p>
        </w:tc>
        <w:tc>
          <w:tcPr/>
          <w:p w:rsidR="00000000" w:rsidDel="00000000" w:rsidP="00000000" w:rsidRDefault="00000000" w:rsidRPr="00000000" w14:paraId="00000039">
            <w:pPr>
              <w:pageBreakBefore w:val="0"/>
              <w:rPr>
                <w:sz w:val="22"/>
                <w:szCs w:val="22"/>
              </w:rPr>
            </w:pPr>
            <w:r w:rsidDel="00000000" w:rsidR="00000000" w:rsidRPr="00000000">
              <w:rPr>
                <w:sz w:val="22"/>
                <w:szCs w:val="22"/>
                <w:rtl w:val="0"/>
              </w:rPr>
              <w:t xml:space="preserve">Ruth Bingham (Director of Student Academic Services), Christine Beaule (CSS) and Stephanie Kraft-Terry (Bio) joined CAB to discuss the implications of the proposed reorganization of CASSAS.  All three were in favor of the reorganization with the main reasons being individual colleges within Arts and Sciences will know their requirements best and advisors in these schools would best serve the students.  At present, students are sometimes shuffled between different advisors within CASSAS.  RB also noted that CASSAS is extremely understaffed due to a variety of circumstances, but this allowed CASSAS to experiment with a more decentralized advising team (as would be the case under the reorg), and it seemed to work well.  Student feedback seems to favor the “new” approach, although there were “growing pains” in getting there.  The new distribution of advisors within A&amp;S was determined and agreed to by the individual Deans, with 4 going to CSS, 2 to CNS and 7 to remain in CASSAS for the other schools.</w:t>
            </w:r>
          </w:p>
          <w:p w:rsidR="00000000" w:rsidDel="00000000" w:rsidP="00000000" w:rsidRDefault="00000000" w:rsidRPr="00000000" w14:paraId="0000003A">
            <w:pPr>
              <w:pageBreakBefore w:val="0"/>
              <w:rPr>
                <w:sz w:val="22"/>
                <w:szCs w:val="22"/>
              </w:rPr>
            </w:pPr>
            <w:r w:rsidDel="00000000" w:rsidR="00000000" w:rsidRPr="00000000">
              <w:rPr>
                <w:sz w:val="22"/>
                <w:szCs w:val="22"/>
                <w:rtl w:val="0"/>
              </w:rPr>
              <w:t xml:space="preserve">The three guests left, and </w:t>
            </w:r>
            <w:r w:rsidDel="00000000" w:rsidR="00000000" w:rsidRPr="00000000">
              <w:rPr>
                <w:rtl w:val="0"/>
              </w:rPr>
              <w:t xml:space="preserve">It was generally agreed that CAB would support the reorganization, however it was recognized that student opinion was not yet known.  Therefore, a motion was put forth that CAB endorses the CASSAS reorganization as proposed, pending input from the ASUH.  B. Manini agreed to follow-up with the students via the ASUH.  The motion passed unanimously.</w:t>
            </w:r>
            <w:r w:rsidDel="00000000" w:rsidR="00000000" w:rsidRPr="00000000">
              <w:rPr>
                <w:sz w:val="22"/>
                <w:szCs w:val="22"/>
                <w:rtl w:val="0"/>
              </w:rPr>
              <w:t xml:space="preserve"> </w:t>
            </w:r>
          </w:p>
        </w:tc>
        <w:tc>
          <w:tcPr/>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BM to contact ASUH about the reorg to get their opinion.</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to send motion to SEC.</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to complete the reorg checklist.</w:t>
            </w:r>
          </w:p>
        </w:tc>
      </w:tr>
      <w:tr>
        <w:trPr>
          <w:cantSplit w:val="0"/>
          <w:trHeight w:val="520" w:hRule="atLeast"/>
          <w:tblHeader w:val="0"/>
        </w:trPr>
        <w:tc>
          <w:tcPr/>
          <w:p w:rsidR="00000000" w:rsidDel="00000000" w:rsidP="00000000" w:rsidRDefault="00000000" w:rsidRPr="00000000" w14:paraId="0000003E">
            <w:pPr>
              <w:pageBreakBefore w:val="0"/>
              <w:rPr>
                <w:b w:val="1"/>
                <w:sz w:val="20"/>
                <w:szCs w:val="20"/>
              </w:rPr>
            </w:pPr>
            <w:r w:rsidDel="00000000" w:rsidR="00000000" w:rsidRPr="00000000">
              <w:rPr>
                <w:b w:val="1"/>
                <w:sz w:val="20"/>
                <w:szCs w:val="20"/>
                <w:rtl w:val="0"/>
              </w:rPr>
              <w:t xml:space="preserve">PROPOSED SURVEY FROM CSA</w:t>
            </w:r>
          </w:p>
        </w:tc>
        <w:tc>
          <w:tcPr/>
          <w:p w:rsidR="00000000" w:rsidDel="00000000" w:rsidP="00000000" w:rsidRDefault="00000000" w:rsidRPr="00000000" w14:paraId="0000003F">
            <w:pPr>
              <w:pageBreakBefore w:val="0"/>
              <w:rPr>
                <w:sz w:val="22"/>
                <w:szCs w:val="22"/>
              </w:rPr>
            </w:pPr>
            <w:r w:rsidDel="00000000" w:rsidR="00000000" w:rsidRPr="00000000">
              <w:rPr>
                <w:sz w:val="22"/>
                <w:szCs w:val="22"/>
                <w:rtl w:val="0"/>
              </w:rPr>
              <w:t xml:space="preserve">The Committee on Student Affairs sent a request to CAB, via the SEC, to conduct a survey, to be sent to department chairs, to assess the impact of reduced budgets.</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will forward the email to CAB</w:t>
            </w:r>
          </w:p>
        </w:tc>
      </w:tr>
      <w:tr>
        <w:trPr>
          <w:cantSplit w:val="0"/>
          <w:trHeight w:val="520" w:hRule="atLeast"/>
          <w:tblHeader w:val="0"/>
        </w:trPr>
        <w:tc>
          <w:tcPr/>
          <w:p w:rsidR="00000000" w:rsidDel="00000000" w:rsidP="00000000" w:rsidRDefault="00000000" w:rsidRPr="00000000" w14:paraId="00000041">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42">
            <w:pPr>
              <w:pageBreakBefore w:val="0"/>
              <w:rPr>
                <w:sz w:val="22"/>
                <w:szCs w:val="22"/>
              </w:rPr>
            </w:pPr>
            <w:r w:rsidDel="00000000" w:rsidR="00000000" w:rsidRPr="00000000">
              <w:rPr>
                <w:sz w:val="22"/>
                <w:szCs w:val="22"/>
                <w:rtl w:val="0"/>
              </w:rPr>
              <w:t xml:space="preserve">The minutes from the last CAB meeting (02/11) were unanimously approved.</w:t>
            </w:r>
          </w:p>
        </w:tc>
        <w:tc>
          <w:tcPr/>
          <w:p w:rsidR="00000000" w:rsidDel="00000000" w:rsidP="00000000" w:rsidRDefault="00000000" w:rsidRPr="00000000" w14:paraId="00000043">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ADJOURNMENT</w:t>
            </w:r>
          </w:p>
        </w:tc>
        <w:tc>
          <w:tcPr/>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A. Sakaguchi adjourned the meeting at 10:52.</w:t>
            </w:r>
          </w:p>
        </w:tc>
        <w:tc>
          <w:tcPr/>
          <w:p w:rsidR="00000000" w:rsidDel="00000000" w:rsidP="00000000" w:rsidRDefault="00000000" w:rsidRPr="00000000" w14:paraId="00000046">
            <w:pPr>
              <w:pageBreakBefore w:val="0"/>
              <w:rPr>
                <w:sz w:val="22"/>
                <w:szCs w:val="22"/>
              </w:rPr>
            </w:pPr>
            <w:r w:rsidDel="00000000" w:rsidR="00000000" w:rsidRPr="00000000">
              <w:rPr>
                <w:rtl w:val="0"/>
              </w:rPr>
            </w:r>
          </w:p>
        </w:tc>
      </w:tr>
    </w:tbl>
    <w:p w:rsidR="00000000" w:rsidDel="00000000" w:rsidP="00000000" w:rsidRDefault="00000000" w:rsidRPr="00000000" w14:paraId="00000047">
      <w:pPr>
        <w:pageBreakBefore w:val="0"/>
        <w:rPr>
          <w:sz w:val="22"/>
          <w:szCs w:val="22"/>
        </w:rPr>
      </w:pPr>
      <w:r w:rsidDel="00000000" w:rsidR="00000000" w:rsidRPr="00000000">
        <w:rPr>
          <w:rtl w:val="0"/>
        </w:rPr>
      </w:r>
    </w:p>
    <w:p w:rsidR="00000000" w:rsidDel="00000000" w:rsidP="00000000" w:rsidRDefault="00000000" w:rsidRPr="00000000" w14:paraId="00000048">
      <w:pPr>
        <w:pageBreakBefore w:val="0"/>
        <w:rPr>
          <w:sz w:val="22"/>
          <w:szCs w:val="22"/>
        </w:rPr>
      </w:pPr>
      <w:r w:rsidDel="00000000" w:rsidR="00000000" w:rsidRPr="00000000">
        <w:rPr>
          <w:sz w:val="22"/>
          <w:szCs w:val="22"/>
          <w:rtl w:val="0"/>
        </w:rPr>
        <w:t xml:space="preserve">Respectfully submitted by </w:t>
      </w:r>
      <w:r w:rsidDel="00000000" w:rsidR="00000000" w:rsidRPr="00000000">
        <w:rPr>
          <w:sz w:val="22"/>
          <w:szCs w:val="22"/>
          <w:rtl w:val="0"/>
        </w:rPr>
        <w:t xml:space="preserve">Jim Potemra</w:t>
      </w:r>
    </w:p>
    <w:p w:rsidR="00000000" w:rsidDel="00000000" w:rsidP="00000000" w:rsidRDefault="00000000" w:rsidRPr="00000000" w14:paraId="00000049">
      <w:pPr>
        <w:pageBreakBefore w:val="0"/>
        <w:rPr>
          <w:sz w:val="22"/>
          <w:szCs w:val="22"/>
        </w:rPr>
      </w:pPr>
      <w:r w:rsidDel="00000000" w:rsidR="00000000" w:rsidRPr="00000000">
        <w:rPr>
          <w:sz w:val="22"/>
          <w:szCs w:val="22"/>
          <w:rtl w:val="0"/>
        </w:rPr>
        <w:t xml:space="preserve">Approved on  April 1, 2015 with 7 votes in favor of approval and 0 against.</w:t>
      </w:r>
    </w:p>
    <w:p w:rsidR="00000000" w:rsidDel="00000000" w:rsidP="00000000" w:rsidRDefault="00000000" w:rsidRPr="00000000" w14:paraId="0000004A">
      <w:pPr>
        <w:pageBreakBefore w:val="0"/>
        <w:ind w:left="720" w:firstLine="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4F">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