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t xml:space="preserve">May 3, 2016</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w:t>
        <w:tab/>
        <w:t xml:space="preserve">Mānoa Faculty Senate</w:t>
      </w:r>
    </w:p>
    <w:p w:rsidR="00000000" w:rsidDel="00000000" w:rsidP="00000000" w:rsidRDefault="00000000" w:rsidRPr="00000000" w14:paraId="00000004">
      <w:pPr>
        <w:pageBreakBefore w:val="0"/>
        <w:rPr/>
      </w:pPr>
      <w:r w:rsidDel="00000000" w:rsidR="00000000" w:rsidRPr="00000000">
        <w:rPr>
          <w:rtl w:val="0"/>
        </w:rPr>
        <w:t xml:space="preserve">From:</w:t>
        <w:tab/>
        <w:t xml:space="preserve">Michael S. Angelo, Chair</w:t>
      </w:r>
    </w:p>
    <w:p w:rsidR="00000000" w:rsidDel="00000000" w:rsidP="00000000" w:rsidRDefault="00000000" w:rsidRPr="00000000" w14:paraId="00000005">
      <w:pPr>
        <w:pageBreakBefore w:val="0"/>
        <w:rPr/>
      </w:pPr>
      <w:r w:rsidDel="00000000" w:rsidR="00000000" w:rsidRPr="00000000">
        <w:rPr>
          <w:rtl w:val="0"/>
        </w:rPr>
        <w:t xml:space="preserve">Re:</w:t>
        <w:tab/>
        <w:t xml:space="preserve">Committee on Administration and Budget (CAB) Fall Report 2015</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The CAB met 9 times during Fall 2015 on 9/9, 9/23, 10/7, 10/28, 11/04, 11/11, 11/25, 12/02, and 1/6. The Committee included: Michael Angelo, John Casken, David Chin, Brian Glazer, Rosanne Harrigan, Vilsoni Hereniko, Lilikalā Kameʻeleihiwa, Lauren Mitchell, Stephen O’Harrow, Robert Paull, and Ann Sakaguchi. John Casken served as Secretary, Brian Glazer served as Vice-Chair, and Michael Angelo served as Chair. Sarita Rai served as the SEC Liaison. The Chair thanks the Committee, Sarita Rai for serving as the SEC Liaison, Brian Glazer for serving as Vice-Chair, and John Casken for his diligent and thorough recording of the minutes.</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The CAB also formed a budget subcommittee (SC) to develop an allocation methodology for the “ mission support funding pool” based on a request from UHM Interim Chancellor (IC) Robert Bley-Vroman.  The SC developed an allocation model based on all funds budgeting using Responsibility Center Management (RCM) principles to better address the on-going budgetary concerns related to the University of Hawaiʻi Manoā (UHM) campus.  The SC met 3 times during Fall 2015 on 12/23, 12/30 and 1/6. Members included: Michael Angelo, John Casken, David Chin, Lilikalā Kameʻeleihiwa, and Ann Sakaguchi. John Casken was the secretary, Sarita Rai served as the SEC Liaison, and Michael Angelo served as Chair.  The Chair thanks the Committee for their extra efforts especially over the holiday break, and John Casken and Sarita Rai for performing double duty by severing as secretary and SEC Liaison, respectively, for both the CAB and the CAB SC. </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Budgetary discussions comprised a significant proportion of the CAB work during Fall 2015. The CAB met with the Vice Chancellor for Administration, Finance, and Operations (VCAFO), Kathy Cutshaw, to learn more about the current budget situation. The IC proposed that work on the campus budget by the Deans and Directors would be performed in collaboration with the MFS.  However, the IC remained largely unresponsive to CAB’s requests for involvement in the Deans and Director’s model and requests for information and reports on the previous work of the UHM Budget Task Force (BTF) during the Fall of 2014 and Spring of 2015 and the work of the group of Deans and Directors over Summer 2015 towards developing a new budget allocation model for UHM.</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b w:val="1"/>
          <w:rtl w:val="0"/>
        </w:rPr>
        <w:t xml:space="preserve">1.16</w:t>
      </w:r>
      <w:r w:rsidDel="00000000" w:rsidR="00000000" w:rsidRPr="00000000">
        <w:rPr>
          <w:rtl w:val="0"/>
        </w:rPr>
        <w:t xml:space="preserve">  </w:t>
      </w:r>
      <w:r w:rsidDel="00000000" w:rsidR="00000000" w:rsidRPr="00000000">
        <w:rPr>
          <w:b w:val="1"/>
          <w:rtl w:val="0"/>
        </w:rPr>
        <w:t xml:space="preserve">5% Withholding from the UH System RTRF:  </w:t>
      </w:r>
      <w:r w:rsidDel="00000000" w:rsidR="00000000" w:rsidRPr="00000000">
        <w:rPr>
          <w:rtl w:val="0"/>
        </w:rPr>
        <w:t xml:space="preserve">The UH System Vice President for Research and Innovation (VPRI) Vassilis Syrmos imposed an additional 5% withholding on the Research and Training  Revolving Fund (RTRF) across the entire UH system in August 2015. The UH faculty learned of the   withholding through a UHARI listserve email conversation and not from VPRI Syrmos. Past accepted practices have been that the UH system typically withholds 25% of the total RTRF generated by UHM with another 25% being allotted to the UHM Vice Chancellor for Research and the balance of 50% returned to the school, college, or organized research unit that generated the RTRF.  The purported need for the additional 5% RTRF withholding, according the VPRI, was that additional funding was needed to support environmental assessments, consultants, and legal fees, for the Daniel K. Inouye Solar Telescope, Thirty Meter Telescope (TMT), Office of Mauna Kea Management (OMKM), and other astronomy related programs.  The Vice Chair of CAB, CAB’s SEC Liaison, and the Chair of the Committee on Research (COR) met with the VPRI in person to discuss this additional withholding. The VPRI stated that the additional withholding would be a one-time occurrence and that the use of RTRF on legal fees was a legitimate expenditure of RTRF.</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b w:val="1"/>
        </w:rPr>
      </w:pPr>
      <w:r w:rsidDel="00000000" w:rsidR="00000000" w:rsidRPr="00000000">
        <w:rPr>
          <w:b w:val="1"/>
          <w:rtl w:val="0"/>
        </w:rPr>
        <w:t xml:space="preserve">Resolution requesting the return of the 5% RTRF withholding:</w:t>
      </w:r>
    </w:p>
    <w:p w:rsidR="00000000" w:rsidDel="00000000" w:rsidP="00000000" w:rsidRDefault="00000000" w:rsidRPr="00000000" w14:paraId="00000010">
      <w:pPr>
        <w:pageBreakBefore w:val="0"/>
        <w:jc w:val="both"/>
        <w:rPr/>
      </w:pPr>
      <w:r w:rsidDel="00000000" w:rsidR="00000000" w:rsidRPr="00000000">
        <w:rPr>
          <w:rtl w:val="0"/>
        </w:rPr>
        <w:t xml:space="preserve">The CAB passed a resolution finding that the withholding of RTRF funds to support legal fees is not in accordance with HRS 304A-2253. The resolution requested that fees that were withheld and used in legal expenditures be returned to the UHM, and requested that plans for RTRF distributions be made in consultation with the UH Manoa Faculty Senate (UHMFS).  The resolution requested that UHM’s entire portion of the 5% withholding be returned until the faculty is appropriately consulted.  Resolution passed 40:2:1 on 10/21/15.</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b w:val="1"/>
          <w:rtl w:val="0"/>
        </w:rPr>
        <w:t xml:space="preserve">2.16   Reorganization Proposal – Office of Research Compliance: </w:t>
      </w:r>
      <w:r w:rsidDel="00000000" w:rsidR="00000000" w:rsidRPr="00000000">
        <w:rPr>
          <w:rtl w:val="0"/>
        </w:rPr>
        <w:t xml:space="preserve">A proposal was brought forth by the UH System Office of the VPRI (OVPRI) to reorganize the Office of Research Compliance (ORC) by removing it from the Office of the Vice Chancellor for Research (OVCR) at the UHM and placing it under the OVPRI at the UH System. However, the proposal did not address the questions of the UHMFS reorganization checklist required of all reorganization proposals.  The CAB met with the VPRI 11/04/15 and informed him in person that the reorganization document must address the questions in the UHMFS reorganization checklist for CAB to be able to adequately review the proposal. Members also expressed significant concerns with respect to the lack of justification for the $1.1 million in purported cost savings.  The VPRI agreed to address CAB’s concerns, answer the questions contained within the checklist, and provide CAB with the responses.  Further action will be taken by the CAB upon receipt of the VPRI’s response.</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b w:val="1"/>
        </w:rPr>
      </w:pPr>
      <w:r w:rsidDel="00000000" w:rsidR="00000000" w:rsidRPr="00000000">
        <w:rPr>
          <w:b w:val="1"/>
          <w:rtl w:val="0"/>
        </w:rPr>
        <w:t xml:space="preserve">5.13   Faculty Hiring: </w:t>
      </w:r>
      <w:r w:rsidDel="00000000" w:rsidR="00000000" w:rsidRPr="00000000">
        <w:rPr>
          <w:rtl w:val="0"/>
        </w:rPr>
        <w:t xml:space="preserve">CPM made a motion before the UHMFS at the May 2014 meeting of MFS to ask the chancellor to provide data related to tenure track vs. non-tenure track faculty and ratio of courses being taught by tenure track vs. non-tenure track faculty at Manoā. The purpose of this motion was to encourage the Chancellor to maintain or increase the tenure track corps of the faculty at UHM. The CPM requested CAB’s assistance on the matter in the Spring of 2015.  The CPM closed the matter on 11/5/15 and since the CAB’s role is one of support no further action is required from the CAB.  The issue will be closed.</w:t>
      </w:r>
      <w:r w:rsidDel="00000000" w:rsidR="00000000" w:rsidRPr="00000000">
        <w:rPr>
          <w:rtl w:val="0"/>
        </w:rPr>
      </w:r>
    </w:p>
    <w:p w:rsidR="00000000" w:rsidDel="00000000" w:rsidP="00000000" w:rsidRDefault="00000000" w:rsidRPr="00000000" w14:paraId="00000015">
      <w:pPr>
        <w:pageBreakBefore w:val="0"/>
        <w:jc w:val="both"/>
        <w:rPr>
          <w:b w:val="1"/>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b w:val="1"/>
          <w:rtl w:val="0"/>
        </w:rPr>
        <w:t xml:space="preserve">7.16 Reorganization Proposal – Myron B. Thompson School of Social Work (MBT SSW), Office of Public Health Studies (OPHS), and Center on Aging (COA): </w:t>
      </w:r>
      <w:r w:rsidDel="00000000" w:rsidR="00000000" w:rsidRPr="00000000">
        <w:rPr>
          <w:rtl w:val="0"/>
        </w:rPr>
        <w:t xml:space="preserve"> A reorganization proposal was received by CAB on 11/20/15 that proposed to move the OPHS from the John A. Burns School of Medicine (JABSOM) to the MBT SSW and to move the COA from the office of the Vice Chancellor for Research to the MBT SSW.  CAB noted that the reorganization proposal is a faculty/staff driven proposal.  CAB will review the proposal in Spring of 2016.</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b w:val="1"/>
          <w:rtl w:val="0"/>
        </w:rPr>
        <w:t xml:space="preserve">76.12 Proposal – Parking Rate Schedule: </w:t>
      </w:r>
      <w:r w:rsidDel="00000000" w:rsidR="00000000" w:rsidRPr="00000000">
        <w:rPr>
          <w:rtl w:val="0"/>
        </w:rPr>
        <w:t xml:space="preserve">The Office of the Vice Chancellor of Administration and Finance (OVCAFO) had proposed a schedule of increases in the campus parking rates to be implemented over a multi-year period in Spring 2014.  The proposed rate increases are significant and includes expenses that should not be passed on to parking pass holders such as campus shuttle fees and bus passes for non parking pass holders.  The proposed increases will also place a significant financial burden on students, staff, and faculty. A series of public hearings approved by the Governor are required to be held before parking increases can be implemented. VCAFO Cutshaw reported to the CAB that she did not anticipate a public hearing during FY 2016.  The issue must remain open because public hearings may be pursued in future years.</w:t>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1C">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