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January 14,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Kamakakuokalani Bldg, Room 103F</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Michael Angelo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Brian Glazer - Vice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John Casken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bookmarkStart w:colFirst="0" w:colLast="0" w:name="_gjdgxs" w:id="0"/>
            <w:bookmarkEnd w:id="0"/>
            <w:r w:rsidDel="00000000" w:rsidR="00000000" w:rsidRPr="00000000">
              <w:rPr>
                <w:sz w:val="22"/>
                <w:szCs w:val="22"/>
                <w:rtl w:val="0"/>
              </w:rPr>
              <w:t xml:space="preserve">John Galland, Asst. Vice-Chancellor for Research Compliance</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3:10 - 4:05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Rosanne Harrigan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Vilsoni Hereniko</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Lilikala Kame`eleihiwa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Stephen O`Harrow</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Robert Paull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 Ann Sakaguchi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Sarita Rai SEC Liaison</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p w:rsidR="00000000" w:rsidDel="00000000" w:rsidP="00000000" w:rsidRDefault="00000000" w:rsidRPr="00000000" w14:paraId="0000003A">
      <w:pPr>
        <w:pageBreakBefore w:val="0"/>
        <w:rPr>
          <w:sz w:val="22"/>
          <w:szCs w:val="22"/>
        </w:rPr>
      </w:pPr>
      <w:r w:rsidDel="00000000" w:rsidR="00000000" w:rsidRPr="00000000">
        <w:rPr>
          <w:rtl w:val="0"/>
        </w:rPr>
      </w:r>
    </w:p>
    <w:tbl>
      <w:tblPr>
        <w:tblStyle w:val="Table2"/>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2"/>
        <w:gridCol w:w="4344"/>
        <w:gridCol w:w="3970"/>
        <w:tblGridChange w:id="0">
          <w:tblGrid>
            <w:gridCol w:w="2702"/>
            <w:gridCol w:w="4344"/>
            <w:gridCol w:w="3970"/>
          </w:tblGrid>
        </w:tblGridChange>
      </w:tblGrid>
      <w:tr>
        <w:trPr>
          <w:cantSplit w:val="0"/>
          <w:tblHeader w:val="0"/>
        </w:trPr>
        <w:tc>
          <w:tcPr/>
          <w:p w:rsidR="00000000" w:rsidDel="00000000" w:rsidP="00000000" w:rsidRDefault="00000000" w:rsidRPr="00000000" w14:paraId="0000003B">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C">
            <w:pPr>
              <w:pageBreakBefore w:val="0"/>
              <w:rPr>
                <w:b w:val="1"/>
                <w:sz w:val="22"/>
                <w:szCs w:val="22"/>
              </w:rPr>
            </w:pPr>
            <w:r w:rsidDel="00000000" w:rsidR="00000000" w:rsidRPr="00000000">
              <w:rPr>
                <w:b w:val="1"/>
                <w:sz w:val="22"/>
                <w:szCs w:val="22"/>
                <w:rtl w:val="0"/>
              </w:rPr>
              <w:t xml:space="preserve">DISCUSSION/INFORMATION</w:t>
            </w:r>
          </w:p>
        </w:tc>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ACTION/STRATEGY/RESPONSIBLE PERSON</w:t>
            </w:r>
          </w:p>
        </w:tc>
      </w:tr>
      <w:tr>
        <w:trPr>
          <w:cantSplit w:val="0"/>
          <w:tblHeader w:val="0"/>
        </w:trPr>
        <w:tc>
          <w:tcPr/>
          <w:p w:rsidR="00000000" w:rsidDel="00000000" w:rsidP="00000000" w:rsidRDefault="00000000" w:rsidRPr="00000000" w14:paraId="0000003E">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Meeting called to order at 3:05 p.m by Chair Angelo.</w:t>
            </w:r>
          </w:p>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APPROVAL OF AGENDA</w:t>
            </w:r>
          </w:p>
        </w:tc>
        <w:tc>
          <w:tcPr/>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This was a special meeting called by   Chair Angelo to hear from John Galland, Asst. Vice-chancellor for Research Compliance (ORC) in connection with Re-organization Proposal for the Office of the Vice-President of Research and Innovation (VPRI).</w:t>
            </w:r>
          </w:p>
          <w:p w:rsidR="00000000" w:rsidDel="00000000" w:rsidP="00000000" w:rsidRDefault="00000000" w:rsidRPr="00000000" w14:paraId="00000044">
            <w:pPr>
              <w:pageBreakBefore w:val="0"/>
              <w:rPr>
                <w:sz w:val="22"/>
                <w:szCs w:val="22"/>
              </w:rPr>
            </w:pPr>
            <w:r w:rsidDel="00000000" w:rsidR="00000000" w:rsidRPr="00000000">
              <w:rPr>
                <w:rtl w:val="0"/>
              </w:rPr>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Motion to approve the agenda moved by J. Casken. Approved unanimously.</w:t>
            </w:r>
          </w:p>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7">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No minutes reviewed.</w:t>
            </w:r>
          </w:p>
          <w:p w:rsidR="00000000" w:rsidDel="00000000" w:rsidP="00000000" w:rsidRDefault="00000000" w:rsidRPr="00000000" w14:paraId="00000049">
            <w:pPr>
              <w:pageBreakBefore w:val="0"/>
              <w:rPr>
                <w:sz w:val="22"/>
                <w:szCs w:val="22"/>
              </w:rPr>
            </w:pPr>
            <w:r w:rsidDel="00000000" w:rsidR="00000000" w:rsidRPr="00000000">
              <w:rPr>
                <w:rtl w:val="0"/>
              </w:rPr>
            </w:r>
          </w:p>
        </w:tc>
        <w:tc>
          <w:tcPr/>
          <w:p w:rsidR="00000000" w:rsidDel="00000000" w:rsidP="00000000" w:rsidRDefault="00000000" w:rsidRPr="00000000" w14:paraId="0000004A">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NEW BUSINESS</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J. Galland was invited by the Chair to discuss the effect on the ORC of the proposed re-organization of VPRI as the ORC was one of the units most affected by the re-organization.</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 J. Galland noted that ORC was not consulted on the Re-organization plans.  He also noted that a special Task Force had been created by the OVPRI to conduct a review of the ORC prior to the Re-organization.  ORC was not involved in the creation of the Task Force nor the review. Overall he expressed concerns about what he saw as the negative effects on research on the Manoa Campus - including possible  reduction  of RTRF for Manoa. In the time available J.Galland answered members' questions.</w:t>
            </w:r>
          </w:p>
          <w:p w:rsidR="00000000" w:rsidDel="00000000" w:rsidP="00000000" w:rsidRDefault="00000000" w:rsidRPr="00000000" w14:paraId="0000004E">
            <w:pPr>
              <w:pageBreakBefore w:val="0"/>
              <w:rPr>
                <w:sz w:val="22"/>
                <w:szCs w:val="22"/>
              </w:rPr>
            </w:pPr>
            <w:r w:rsidDel="00000000" w:rsidR="00000000" w:rsidRPr="00000000">
              <w:rPr>
                <w:rtl w:val="0"/>
              </w:rPr>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Members thanked J. Galland for his presentation.  Chair Angelo on behalf of the members asked if he would be able to present at the January 20, 2016 Manoa Faculty Senate (MFS) Meeting.  </w:t>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J. Galland was invited to attend if he was able. </w:t>
            </w:r>
          </w:p>
        </w:tc>
      </w:tr>
      <w:tr>
        <w:trPr>
          <w:cantSplit w:val="0"/>
          <w:tblHeader w:val="0"/>
        </w:trPr>
        <w:tc>
          <w:tcPr/>
          <w:p w:rsidR="00000000" w:rsidDel="00000000" w:rsidP="00000000" w:rsidRDefault="00000000" w:rsidRPr="00000000" w14:paraId="00000051">
            <w:pPr>
              <w:pageBreakBefore w:val="0"/>
              <w:rPr>
                <w:b w:val="1"/>
                <w:sz w:val="22"/>
                <w:szCs w:val="22"/>
              </w:rPr>
            </w:pPr>
            <w:r w:rsidDel="00000000" w:rsidR="00000000" w:rsidRPr="00000000">
              <w:rPr>
                <w:b w:val="1"/>
                <w:sz w:val="22"/>
                <w:szCs w:val="22"/>
                <w:rtl w:val="0"/>
              </w:rPr>
              <w:t xml:space="preserve">OTHER BUSINESS</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Discussion on the Resolution opposing the Reorganization of the OVPRI.  The opposition is based on the material presented and lack of requested fiscal material - as detailed in the Formal Checklist prepared by CAB members. </w:t>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  Agreed that at the draft Resolution should be forwarded to all CAB members for final review before being submitted to the MF Senate Office on January 15, 2016.  At the moment there is a placeholder on the MFS Agenda for the CAB's Resolution. The final Formal Checklist will also be forwarded to CAB members.</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Agreed that Chair Angelo would introduce the Resolution at the MFS and then CAB members would detail what were seen as problems in the proposed Re-organization.  J. Galland would be introduced - if he attended the MFS.</w:t>
            </w:r>
          </w:p>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rPr>
                <w:b w:val="1"/>
                <w:sz w:val="22"/>
                <w:szCs w:val="22"/>
              </w:rPr>
            </w:pPr>
            <w:r w:rsidDel="00000000" w:rsidR="00000000" w:rsidRPr="00000000">
              <w:rPr>
                <w:b w:val="1"/>
                <w:sz w:val="22"/>
                <w:szCs w:val="22"/>
                <w:rtl w:val="0"/>
              </w:rPr>
              <w:t xml:space="preserve">NEXT MEETING</w:t>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Next meeting will be on Wednesday January 27, 2016   from 3:00pm - 4:30pm in Kamakakuokalani Bldg , Room 103F.</w:t>
            </w:r>
          </w:p>
          <w:p w:rsidR="00000000" w:rsidDel="00000000" w:rsidP="00000000" w:rsidRDefault="00000000" w:rsidRPr="00000000" w14:paraId="00000058">
            <w:pPr>
              <w:pageBreakBefore w:val="0"/>
              <w:rPr>
                <w:sz w:val="22"/>
                <w:szCs w:val="22"/>
              </w:rPr>
            </w:pPr>
            <w:r w:rsidDel="00000000" w:rsidR="00000000" w:rsidRPr="00000000">
              <w:rPr>
                <w:rtl w:val="0"/>
              </w:rPr>
            </w:r>
          </w:p>
        </w:tc>
        <w:tc>
          <w:tcPr/>
          <w:p w:rsidR="00000000" w:rsidDel="00000000" w:rsidP="00000000" w:rsidRDefault="00000000" w:rsidRPr="00000000" w14:paraId="00000059">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A">
            <w:pPr>
              <w:pageBreakBefore w:val="0"/>
              <w:rPr>
                <w:b w:val="1"/>
                <w:sz w:val="22"/>
                <w:szCs w:val="22"/>
              </w:rPr>
            </w:pPr>
            <w:r w:rsidDel="00000000" w:rsidR="00000000" w:rsidRPr="00000000">
              <w:rPr>
                <w:b w:val="1"/>
                <w:sz w:val="22"/>
                <w:szCs w:val="22"/>
                <w:rtl w:val="0"/>
              </w:rPr>
              <w:t xml:space="preserve">ADJOURNMENT</w:t>
            </w:r>
          </w:p>
        </w:tc>
        <w:tc>
          <w:tcPr/>
          <w:p w:rsidR="00000000" w:rsidDel="00000000" w:rsidP="00000000" w:rsidRDefault="00000000" w:rsidRPr="00000000" w14:paraId="0000005B">
            <w:pPr>
              <w:pageBreakBefore w:val="0"/>
              <w:rPr>
                <w:sz w:val="22"/>
                <w:szCs w:val="22"/>
              </w:rPr>
            </w:pPr>
            <w:r w:rsidDel="00000000" w:rsidR="00000000" w:rsidRPr="00000000">
              <w:rPr>
                <w:rtl w:val="0"/>
              </w:rPr>
            </w:r>
          </w:p>
        </w:tc>
        <w:tc>
          <w:tcPr/>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Motion to adjourn made by A. Sakaguchi Passed unanimously. Meeting adjourned at 5:18pm.</w:t>
            </w:r>
          </w:p>
          <w:p w:rsidR="00000000" w:rsidDel="00000000" w:rsidP="00000000" w:rsidRDefault="00000000" w:rsidRPr="00000000" w14:paraId="0000005D">
            <w:pPr>
              <w:pageBreakBefore w:val="0"/>
              <w:rPr>
                <w:sz w:val="22"/>
                <w:szCs w:val="22"/>
              </w:rPr>
            </w:pPr>
            <w:r w:rsidDel="00000000" w:rsidR="00000000" w:rsidRPr="00000000">
              <w:rPr>
                <w:rtl w:val="0"/>
              </w:rPr>
            </w:r>
          </w:p>
        </w:tc>
      </w:tr>
    </w:tbl>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Respectfully submitted by John Casken, CAB Secretary</w:t>
      </w:r>
    </w:p>
    <w:p w:rsidR="00000000" w:rsidDel="00000000" w:rsidP="00000000" w:rsidRDefault="00000000" w:rsidRPr="00000000" w14:paraId="00000060">
      <w:pPr>
        <w:pageBreakBefore w:val="0"/>
        <w:rPr>
          <w:sz w:val="22"/>
          <w:szCs w:val="22"/>
        </w:rPr>
      </w:pPr>
      <w:r w:rsidDel="00000000" w:rsidR="00000000" w:rsidRPr="00000000">
        <w:rPr>
          <w:rtl w:val="0"/>
        </w:rPr>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Approved on January 27, 2016 with 5votes in favor of approval and 0 against</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