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EXECUTIVE COMMITTEE  </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June 29, 2015</w:t>
      </w:r>
      <w:r w:rsidDel="00000000" w:rsidR="00000000" w:rsidRPr="00000000">
        <w:rPr>
          <w:b w:val="1"/>
          <w:sz w:val="22"/>
          <w:szCs w:val="22"/>
          <w:rtl w:val="0"/>
        </w:rPr>
        <w:tab/>
        <w:t xml:space="preserve">1:30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Bob Cooney –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Stacey Roberts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Doug Vincent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UH President David Lassner</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2:00 pm – 3:50 pm</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Kelley Withy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Peter Garrod</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Ashley Maynard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Marguerite Butler</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Sarita Rai</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widowControl w:val="0"/>
              <w:rPr>
                <w:sz w:val="22"/>
                <w:szCs w:val="22"/>
              </w:rPr>
            </w:pPr>
            <w:r w:rsidDel="00000000" w:rsidR="00000000" w:rsidRPr="00000000">
              <w:rPr>
                <w:sz w:val="22"/>
                <w:szCs w:val="22"/>
                <w:rtl w:val="0"/>
              </w:rPr>
              <w:t xml:space="preserve">Jeff Kuhn – 3:05 pm</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Bonnyjean Manini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sz w:val="22"/>
                <w:szCs w:val="22"/>
                <w:rtl w:val="0"/>
              </w:rPr>
              <w:t xml:space="preserve">John Kinder – Staff</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618"/>
        <w:tblGridChange w:id="0">
          <w:tblGrid>
            <w:gridCol w:w="1908"/>
            <w:gridCol w:w="5202"/>
            <w:gridCol w:w="3618"/>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CONTEXT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74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Meeting was called to order by Chair Bob Cooney at 1:40 pm</w:t>
            </w:r>
          </w:p>
        </w:tc>
      </w:tr>
      <w:tr>
        <w:trPr>
          <w:cantSplit w:val="0"/>
          <w:trHeight w:val="74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minutes of June 22, 2015 SEC meeting had been circulated electronically before the meeting. </w:t>
              <w:br w:type="textWrapping"/>
            </w:r>
          </w:p>
        </w:tc>
        <w:tc>
          <w:tcPr/>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B. Manini to approve the minutes as amended; second by K. Withy; Passed unanimously.</w:t>
            </w:r>
          </w:p>
        </w:tc>
      </w:tr>
      <w:tr>
        <w:trPr>
          <w:cantSplit w:val="0"/>
          <w:trHeight w:val="74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Cancer Center Reorganization Plans – Chair Cooney attended a meeting on the JABSOM -Cancer Center reorganization convened by JABSOM Dean Jerris Hedges.  Hedges revealed he wishes to eventually secede from UHM and form the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UH campus – “Health Sciences.”  The reorganization plan should be complete by fall semester and will be brought to the Senate at that point.  There are many concerns, including that as Interim Cancer Center Director, Dean Hedges has a conflict of interest.    </w:t>
              <w:br w:type="textWrapping"/>
            </w:r>
          </w:p>
          <w:p w:rsidR="00000000" w:rsidDel="00000000" w:rsidP="00000000" w:rsidRDefault="00000000" w:rsidRPr="00000000" w14:paraId="000000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Faculty Involvement in Interim Dean Appointments.  Concerns were raised about the process to name an Interim Dean of Natural Sciences.  Faculty were asked to submit names of potential Interim Deans but the “finalists” for Interim Dean were not named.  The speed by which the appointment is to be named without further faculty input is a concern to the SEC.  </w:t>
            </w:r>
          </w:p>
        </w:tc>
        <w:tc>
          <w:tcPr/>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will continue to monitor and awaits the proposed reorganization plan.  Once received the plan will be referred to CAB for review.</w:t>
              <w:br w:type="textWrapping"/>
              <w:br w:type="textWrapping"/>
              <w:br w:type="textWrapping"/>
              <w:br w:type="textWrapping"/>
              <w:br w:type="textWrapping"/>
              <w:br w:type="textWrapping"/>
              <w:br w:type="textWrapping"/>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for the Chair to send a memo to the Interim Chancellor, with copies to the VCAA, about this particular process which and the importance of faculty input in naming all interim deans.  Motion by B. Manini; second by A. Maynard.  Unanimous approval.  </w:t>
              <w:br w:type="textWrapping"/>
              <w:br w:type="textWrapping"/>
              <w:br w:type="textWrapping"/>
              <w:br w:type="textWrapping"/>
              <w:br w:type="textWrapping"/>
              <w:br w:type="textWrapping"/>
            </w:r>
          </w:p>
        </w:tc>
      </w:tr>
      <w:tr>
        <w:trPr>
          <w:cantSplit w:val="0"/>
          <w:trHeight w:val="74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ADDITIONS TO THE AGENDA</w:t>
            </w:r>
          </w:p>
        </w:tc>
        <w:tc>
          <w:tcPr/>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President David Lassner  (2:00 pm – 3:50 pm)</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Permanent Chancellor Search.  President Lassner thanked the SEC for their review of Interim Chancellor Bley-Vroman as well as seeking faculty input from the Senate.  Lassner stated he had read everything received from us.  Regarding Bley-Vroman, Lassner believes that Bley-Vroman has not received a “less than satisfactory rating” and as such will likely be reappointed.  The SEC urged that a process for selecting a new chancellor be started immediately.  Lassner stated that in his opinion, the campus is still “damaged” and it may be difficult to attract a qualified agent of change as chancellor.  The previous chancellor was fired because of mishandling of the budget and not being able to work cohesively with his team.  The SEC asked the President if he has seen change and/or improvements with Bley-Vroman.  He believes he has seen improvements; that the proposed budget models, flawed as they may be, are an improvement over the previous situation and that there is greater teamwork and coordination among the VCs and the Interim Chancellor.  There is still room for improvement.  The SEC expressed concerns about the hiring freeze and impact of the budget shortfalls on the ability of units to do their work and the apparently lack of leadership by the Interim Chancellor.  A “needs assessment” is necessary.  </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Tuition increase of 5% vs. 7%.  Lassner stated that political pressure from the legislature, that UH tuition increases were beginning to rise at faster rate than peer institutions, the fact that the community colleges only requested a 5% increase and that the UHM administration could not fully justify the need for the additional 2% resulted in the decision to recommend to the BOR that a 5% rise in tuition.  Other factors in the decision is that there will be some new G funds included as well as the union raises were covered by the legislature also contributed to the decision.</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need for change on the campus.  The SEC asked if President had seen the recent Bain report “</w:t>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The financially sustainable university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Lassner said he had read the report and there are some good ideas in the report but some of them would be difficult to implement in our highly traditional, unionized environment.  The SEC emphasized that change needs to be collaborative not “top down”.  To do that we need real leadership.  The current status quo is pitting units versus units, competition that is unhealthy.  The prevailing attitude among faculty is that “change means loss.”  There needs to metrics to evaluate what is needed and a process for eliminating the unnecessary.  Greater transparency from and accountability by leadership is critically important.   The SEC is concerned about the growth of the administration.   </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and Mānoa duplication – the SEC raised concerns about the recent proposed change in the Executive Policy about dealing with small enrollment programs (out of the Vice President for Academic Affairs).  Lassner stated that it was based upon a VCAA document (found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are pressures on the UH administration from the BOR and the legislature (</w:t>
            </w: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Rep. Isaac Choy’s HB555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asked President Lassner about areas where the BOR or the legislature is putting pressure on the administration and how we can help.</w:t>
            </w:r>
          </w:p>
          <w:p w:rsidR="00000000" w:rsidDel="00000000" w:rsidP="00000000" w:rsidRDefault="00000000" w:rsidRPr="00000000" w14:paraId="0000004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Faculty workload needs to be addressed</w:t>
            </w:r>
          </w:p>
          <w:p w:rsidR="00000000" w:rsidDel="00000000" w:rsidP="00000000" w:rsidRDefault="00000000" w:rsidRPr="00000000" w14:paraId="0000004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to do about faculty who are no longer engaged in scholarship.</w:t>
            </w:r>
          </w:p>
          <w:p w:rsidR="00000000" w:rsidDel="00000000" w:rsidP="00000000" w:rsidRDefault="00000000" w:rsidRPr="00000000" w14:paraId="0000004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of the university, there may be too many deans and directors, and especially in small units where there is a certain amount of overhead and possibly redundancy.  </w:t>
              <w:br w:type="textWrapping"/>
            </w:r>
          </w:p>
        </w:tc>
        <w:tc>
          <w:tcPr/>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thanked President Lassner for the lengthy conversation and the SEC looks forward to working with the President going forward.  </w:t>
            </w:r>
          </w:p>
        </w:tc>
      </w:tr>
      <w:tr>
        <w:trPr>
          <w:cantSplit w:val="0"/>
          <w:trHeight w:val="74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COMMITTEE REPORTS</w:t>
            </w:r>
          </w:p>
        </w:tc>
        <w:tc>
          <w:tcPr/>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COA -- letters to Congressional delegation from Chair Cooney have been drafted and will be sent.  </w:t>
            </w:r>
          </w:p>
        </w:tc>
        <w:tc>
          <w:tcPr/>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Beyond sending the letters, no further action is required.</w:t>
            </w:r>
          </w:p>
        </w:tc>
      </w:tr>
      <w:tr>
        <w:trPr>
          <w:cantSplit w:val="0"/>
          <w:trHeight w:val="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OLD BUSINESS</w:t>
            </w:r>
          </w:p>
        </w:tc>
        <w:tc>
          <w:tcPr/>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 Abroad Board Appointments -- The Study Abroad Council submitted two names to fill vacancies on the Study Abroad Board for appointment to the board.   They are Ludovic Bousquet, LLL and Marguerite Butler, Natural Sciences.  </w:t>
            </w:r>
          </w:p>
          <w:p w:rsidR="00000000" w:rsidDel="00000000" w:rsidP="00000000" w:rsidRDefault="00000000" w:rsidRPr="00000000" w14:paraId="00000052">
            <w:pPr>
              <w:pageBreakBefore w:val="0"/>
              <w:rPr>
                <w:sz w:val="22"/>
                <w:szCs w:val="22"/>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approve the appointees by B. Manini, second by K. Withy.  Unanimous approval with M. Butler’s abstention.  </w:t>
              <w:br w:type="textWrapping"/>
              <w:br w:type="textWrapp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5">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Issues and Goals -- It has been several years since the SEC had sought issues via survey of the faculty.  The last Mānoa Faculty Senate Feedback Survey was conducted in 2011-12.  There may be other means of obtaining input from the faculty through meeting with other faculty senates or other constituency meetings; asking senators to poll their constituencies and holding SEC meetings in different units.  Once input is received the SEC will review issues and assign them to committees.  Overall goals for the SEC going forward in the next year will also be developed.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Agenda for the SEC meeting on July 6, 2015.</w:t>
            </w:r>
          </w:p>
        </w:tc>
        <w:tc>
          <w:tcPr/>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will further discuss means to obtain input from faculty at future meetings.  John Kinder to search for the previous surveys and share the survey with the current SEC.  </w:t>
              <w:br w:type="textWrapping"/>
              <w:br w:type="textWrapping"/>
              <w:br w:type="textWrapping"/>
              <w:br w:type="textWrapping"/>
            </w:r>
          </w:p>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agenda for the June 29, 2015 SEC meeting was developed.   </w:t>
            </w:r>
          </w:p>
        </w:tc>
      </w:tr>
      <w:tr>
        <w:trPr>
          <w:cantSplit w:val="0"/>
          <w:trHeight w:val="580" w:hRule="atLeast"/>
          <w:tblHeader w:val="0"/>
        </w:trPr>
        <w:tc>
          <w:tcPr/>
          <w:p w:rsidR="00000000" w:rsidDel="00000000" w:rsidP="00000000" w:rsidRDefault="00000000" w:rsidRPr="00000000" w14:paraId="0000005D">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E">
            <w:pPr>
              <w:pageBreakBefore w:val="0"/>
              <w:rPr>
                <w:sz w:val="20"/>
                <w:szCs w:val="20"/>
              </w:rPr>
            </w:pPr>
            <w:r w:rsidDel="00000000" w:rsidR="00000000" w:rsidRPr="00000000">
              <w:rPr>
                <w:rtl w:val="0"/>
              </w:rPr>
            </w:r>
          </w:p>
        </w:tc>
        <w:tc>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meeting of the Senate Executive Committee will be July 6, 2015</w:t>
            </w:r>
          </w:p>
        </w:tc>
        <w:tc>
          <w:tcPr/>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adjourn by B. Manini seconded by K. Withy.  All approved the motion.  Meeting adjourned at 4:35 pm.</w:t>
            </w:r>
          </w:p>
        </w:tc>
      </w:tr>
    </w:tbl>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Respectfully submitted by Doug Vincent, SEC Secretary </w:t>
      </w:r>
    </w:p>
    <w:p w:rsidR="00000000" w:rsidDel="00000000" w:rsidP="00000000" w:rsidRDefault="00000000" w:rsidRPr="00000000" w14:paraId="00000062">
      <w:pPr>
        <w:pageBreakBefore w:val="0"/>
        <w:rPr>
          <w:sz w:val="22"/>
          <w:szCs w:val="22"/>
        </w:rPr>
      </w:pPr>
      <w:r w:rsidDel="00000000" w:rsidR="00000000" w:rsidRPr="00000000">
        <w:rPr>
          <w:sz w:val="22"/>
          <w:szCs w:val="22"/>
          <w:rtl w:val="0"/>
        </w:rPr>
        <w:t xml:space="preserve">Approved unanimously on July 6, 2015</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4">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15">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bain.com/publications/articles/financially-sustainable-university.aspx" TargetMode="External"/><Relationship Id="rId7" Type="http://schemas.openxmlformats.org/officeDocument/2006/relationships/hyperlink" Target="https://manoa.hawaii.edu/ovcaa/program_review/" TargetMode="External"/><Relationship Id="rId8" Type="http://schemas.openxmlformats.org/officeDocument/2006/relationships/hyperlink" Target="http://www.capitol.hawaii.gov/measure_indiv.aspx?billtype=HB&amp;billnumber=555&amp;year=2015"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