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EXECUTIVE COMMITTEE  </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June 1, 2015</w:t>
      </w:r>
      <w:r w:rsidDel="00000000" w:rsidR="00000000" w:rsidRPr="00000000">
        <w:rPr>
          <w:b w:val="1"/>
          <w:sz w:val="22"/>
          <w:szCs w:val="22"/>
          <w:rtl w:val="0"/>
        </w:rPr>
        <w:tab/>
        <w:t xml:space="preserve">1:30 pm</w:t>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070"/>
        <w:gridCol w:w="270"/>
        <w:gridCol w:w="2070"/>
        <w:gridCol w:w="270"/>
        <w:gridCol w:w="2052"/>
        <w:gridCol w:w="1368"/>
        <w:tblGridChange w:id="0">
          <w:tblGrid>
            <w:gridCol w:w="2358"/>
            <w:gridCol w:w="270"/>
            <w:gridCol w:w="2070"/>
            <w:gridCol w:w="270"/>
            <w:gridCol w:w="2070"/>
            <w:gridCol w:w="270"/>
            <w:gridCol w:w="2052"/>
            <w:gridCol w:w="1368"/>
          </w:tblGrid>
        </w:tblGridChange>
      </w:tblGrid>
      <w:tr>
        <w:trPr>
          <w:cantSplit w:val="0"/>
          <w:trHeight w:val="260" w:hRule="atLeast"/>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Bob Cooney – Chair</w:t>
              <w:br w:type="textWrapping"/>
              <w:t xml:space="preserve">called in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Stacey Roberts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Doug Vincent – Secretary</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Kelley Withy</w:t>
            </w:r>
          </w:p>
        </w:tc>
        <w:tc>
          <w:tcPr/>
          <w:p w:rsidR="00000000" w:rsidDel="00000000" w:rsidP="00000000" w:rsidRDefault="00000000" w:rsidRPr="00000000" w14:paraId="00000019">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Peter Garrod</w:t>
            </w:r>
          </w:p>
        </w:tc>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sz w:val="22"/>
                <w:szCs w:val="22"/>
                <w:rtl w:val="0"/>
              </w:rPr>
              <w:t xml:space="preserve">Ashley Maynard</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Marguerite Butler</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Sarita Rai</w:t>
            </w:r>
          </w:p>
        </w:tc>
        <w:tc>
          <w:tcPr/>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widowControl w:val="0"/>
              <w:rPr>
                <w:sz w:val="22"/>
                <w:szCs w:val="22"/>
              </w:rPr>
            </w:pPr>
            <w:r w:rsidDel="00000000" w:rsidR="00000000" w:rsidRPr="00000000">
              <w:rPr>
                <w:sz w:val="22"/>
                <w:szCs w:val="22"/>
                <w:rtl w:val="0"/>
              </w:rPr>
              <w:t xml:space="preserve">Duane Stevens -</w:t>
              <w:br w:type="textWrapping"/>
              <w:t xml:space="preserve">sabbatical – 7/1/15</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Bonnyjean Manini</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widowControl w:val="0"/>
              <w:jc w:val="both"/>
              <w:rPr>
                <w:sz w:val="22"/>
                <w:szCs w:val="22"/>
              </w:rPr>
            </w:pPr>
            <w:r w:rsidDel="00000000" w:rsidR="00000000" w:rsidRPr="00000000">
              <w:rPr>
                <w:sz w:val="22"/>
                <w:szCs w:val="22"/>
                <w:rtl w:val="0"/>
              </w:rPr>
              <w:t xml:space="preserve">John Kinder – Staff</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 </w:t>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 </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bl>
    <w:p w:rsidR="00000000" w:rsidDel="00000000" w:rsidP="00000000" w:rsidRDefault="00000000" w:rsidRPr="00000000" w14:paraId="0000003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08"/>
        <w:gridCol w:w="5202"/>
        <w:gridCol w:w="3618"/>
        <w:tblGridChange w:id="0">
          <w:tblGrid>
            <w:gridCol w:w="1908"/>
            <w:gridCol w:w="5202"/>
            <w:gridCol w:w="3618"/>
          </w:tblGrid>
        </w:tblGridChange>
      </w:tblGrid>
      <w:tr>
        <w:trPr>
          <w:cantSplit w:val="0"/>
          <w:tblHeader w:val="0"/>
        </w:trPr>
        <w:tc>
          <w:tcPr/>
          <w:p w:rsidR="00000000" w:rsidDel="00000000" w:rsidP="00000000" w:rsidRDefault="00000000" w:rsidRPr="00000000" w14:paraId="0000003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2">
            <w:pPr>
              <w:pageBreakBefore w:val="0"/>
              <w:rPr>
                <w:b w:val="1"/>
                <w:sz w:val="20"/>
                <w:szCs w:val="20"/>
              </w:rPr>
            </w:pPr>
            <w:r w:rsidDel="00000000" w:rsidR="00000000" w:rsidRPr="00000000">
              <w:rPr>
                <w:b w:val="1"/>
                <w:sz w:val="20"/>
                <w:szCs w:val="20"/>
                <w:rtl w:val="0"/>
              </w:rPr>
              <w:t xml:space="preserve">CONTEXT</w:t>
            </w:r>
          </w:p>
        </w:tc>
        <w:tc>
          <w:tcPr/>
          <w:p w:rsidR="00000000" w:rsidDel="00000000" w:rsidP="00000000" w:rsidRDefault="00000000" w:rsidRPr="00000000" w14:paraId="0000003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740" w:hRule="atLeast"/>
          <w:tblHeader w:val="0"/>
        </w:trPr>
        <w:tc>
          <w:tcPr/>
          <w:p w:rsidR="00000000" w:rsidDel="00000000" w:rsidP="00000000" w:rsidRDefault="00000000" w:rsidRPr="00000000" w14:paraId="0000003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5">
            <w:pPr>
              <w:pageBreakBefore w:val="0"/>
              <w:rPr>
                <w:sz w:val="22"/>
                <w:szCs w:val="22"/>
              </w:rPr>
            </w:pPr>
            <w:r w:rsidDel="00000000" w:rsidR="00000000" w:rsidRPr="00000000">
              <w:rPr>
                <w:sz w:val="22"/>
                <w:szCs w:val="22"/>
                <w:rtl w:val="0"/>
              </w:rPr>
              <w:t xml:space="preserve">The SEC welcomed the newly elected members, i.e. Bonnyjean Manini, Sarita Rai, Marguerite Butler, and Kelley Withy.  Introductions were given.  </w:t>
            </w:r>
          </w:p>
        </w:tc>
        <w:tc>
          <w:tcPr/>
          <w:p w:rsidR="00000000" w:rsidDel="00000000" w:rsidP="00000000" w:rsidRDefault="00000000" w:rsidRPr="00000000" w14:paraId="00000036">
            <w:pPr>
              <w:pageBreakBefore w:val="0"/>
              <w:rPr>
                <w:sz w:val="22"/>
                <w:szCs w:val="22"/>
              </w:rPr>
            </w:pPr>
            <w:r w:rsidDel="00000000" w:rsidR="00000000" w:rsidRPr="00000000">
              <w:rPr>
                <w:sz w:val="22"/>
                <w:szCs w:val="22"/>
                <w:rtl w:val="0"/>
              </w:rPr>
              <w:t xml:space="preserve">Meeting was called to order by Ashley Maynard at 1:35 pm</w:t>
            </w:r>
          </w:p>
        </w:tc>
      </w:tr>
      <w:tr>
        <w:trPr>
          <w:cantSplit w:val="0"/>
          <w:trHeight w:val="740" w:hRule="atLeast"/>
          <w:tblHeader w:val="0"/>
        </w:trPr>
        <w:tc>
          <w:tcPr/>
          <w:p w:rsidR="00000000" w:rsidDel="00000000" w:rsidP="00000000" w:rsidRDefault="00000000" w:rsidRPr="00000000" w14:paraId="00000037">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3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minutes of May 18, 2015 SEC meeting had been circulated electronically before the meeting. </w:t>
              <w:br w:type="textWrapping"/>
            </w:r>
          </w:p>
        </w:tc>
        <w:tc>
          <w:tcPr/>
          <w:p w:rsidR="00000000" w:rsidDel="00000000" w:rsidP="00000000" w:rsidRDefault="00000000" w:rsidRPr="00000000" w14:paraId="000000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by S. Rai to approve the minutes as amended; second by D. Vincent. Passed unanimously.</w:t>
            </w:r>
          </w:p>
        </w:tc>
      </w:tr>
      <w:tr>
        <w:trPr>
          <w:cantSplit w:val="0"/>
          <w:trHeight w:val="740" w:hRule="atLeast"/>
          <w:tblHeader w:val="0"/>
        </w:trPr>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CHAIRS REPORT</w:t>
            </w:r>
          </w:p>
        </w:tc>
        <w:tc>
          <w:tcPr/>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Cooney is on vacation – so no report.  Chair Cooney called in to the meeting.</w:t>
              <w:br w:type="textWrapping"/>
            </w:r>
          </w:p>
          <w:p w:rsidR="00000000" w:rsidDel="00000000" w:rsidP="00000000" w:rsidRDefault="00000000" w:rsidRPr="00000000" w14:paraId="0000003C">
            <w:pPr>
              <w:pageBreakBefore w:val="0"/>
              <w:ind w:left="180" w:firstLine="0"/>
              <w:rPr>
                <w:sz w:val="22"/>
                <w:szCs w:val="22"/>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 action required.</w:t>
            </w:r>
          </w:p>
          <w:p w:rsidR="00000000" w:rsidDel="00000000" w:rsidP="00000000" w:rsidRDefault="00000000" w:rsidRPr="00000000" w14:paraId="0000003E">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COMMITTEE REPORTS</w:t>
            </w:r>
          </w:p>
        </w:tc>
        <w:tc>
          <w:tcPr/>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 committees have completed their work for the          academic year.   No reports.</w:t>
            </w:r>
          </w:p>
        </w:tc>
        <w:tc>
          <w:tcPr/>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required.</w:t>
              <w:br w:type="textWrapping"/>
            </w:r>
          </w:p>
        </w:tc>
      </w:tr>
      <w:tr>
        <w:trPr>
          <w:cantSplit w:val="0"/>
          <w:trHeight w:val="60" w:hRule="atLeast"/>
          <w:tblHeader w:val="0"/>
        </w:trPr>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OLD BUSINESS</w:t>
            </w:r>
          </w:p>
        </w:tc>
        <w:tc>
          <w:tcPr/>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PBRC Reorganization – D. Vincent explained the previous actions of CAB on the PBRC reorganization.  CAB recommended that the SEC act on the Senate and endorse the reorganization.  There were only two responses to the CAB email sent out to the 2014-2015 Senate.  One response was in favor of the reorganization.  The other, from another college, opposed the reorganization suggesting that some of the faculty might be better in other colleges.  Some SEC members questioned the need to do this right now.  It was explained that there is a new director coming on board on July 1, 2015 and both the PBRC director and the Dean of SOEST/Interim VCR encouraged completing the work before the new director was in place.  After the meeting, D. Vincent provided additional information about the reorganization.  There was a vote to call the question but it did not receive the 2/3 majority.</w:t>
            </w:r>
          </w:p>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2.    Permanent Chancellor – no update</w:t>
            </w:r>
          </w:p>
        </w:tc>
        <w:tc>
          <w:tcPr/>
          <w:p w:rsidR="00000000" w:rsidDel="00000000" w:rsidP="00000000" w:rsidRDefault="00000000" w:rsidRPr="00000000" w14:paraId="0000004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SEC will conduct an electronic vote on the issue with the vote to be completed by COB on June 4, 2015.</w:t>
              <w:br w:type="textWrapping"/>
              <w:br w:type="textWrapping"/>
              <w:br w:type="textWrapping"/>
            </w:r>
          </w:p>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sz w:val="22"/>
                <w:szCs w:val="22"/>
              </w:rPr>
            </w:pPr>
            <w:r w:rsidDel="00000000" w:rsidR="00000000" w:rsidRPr="00000000">
              <w:rPr>
                <w:rtl w:val="0"/>
              </w:rPr>
            </w:r>
          </w:p>
          <w:p w:rsidR="00000000" w:rsidDel="00000000" w:rsidP="00000000" w:rsidRDefault="00000000" w:rsidRPr="00000000" w14:paraId="00000049">
            <w:pPr>
              <w:pageBreakBefore w:val="0"/>
              <w:rPr>
                <w:sz w:val="22"/>
                <w:szCs w:val="22"/>
              </w:rPr>
            </w:pPr>
            <w:r w:rsidDel="00000000" w:rsidR="00000000" w:rsidRPr="00000000">
              <w:rPr>
                <w:rtl w:val="0"/>
              </w:rPr>
            </w:r>
          </w:p>
          <w:p w:rsidR="00000000" w:rsidDel="00000000" w:rsidP="00000000" w:rsidRDefault="00000000" w:rsidRPr="00000000" w14:paraId="0000004A">
            <w:pPr>
              <w:pageBreakBefore w:val="0"/>
              <w:rPr>
                <w:sz w:val="22"/>
                <w:szCs w:val="22"/>
              </w:rPr>
            </w:pPr>
            <w:r w:rsidDel="00000000" w:rsidR="00000000" w:rsidRPr="00000000">
              <w:rPr>
                <w:rtl w:val="0"/>
              </w:rPr>
            </w:r>
          </w:p>
          <w:p w:rsidR="00000000" w:rsidDel="00000000" w:rsidP="00000000" w:rsidRDefault="00000000" w:rsidRPr="00000000" w14:paraId="0000004B">
            <w:pPr>
              <w:pageBreakBefore w:val="0"/>
              <w:rPr>
                <w:sz w:val="22"/>
                <w:szCs w:val="22"/>
              </w:rPr>
            </w:pPr>
            <w:r w:rsidDel="00000000" w:rsidR="00000000" w:rsidRPr="00000000">
              <w:rPr>
                <w:rtl w:val="0"/>
              </w:rPr>
            </w:r>
          </w:p>
          <w:p w:rsidR="00000000" w:rsidDel="00000000" w:rsidP="00000000" w:rsidRDefault="00000000" w:rsidRPr="00000000" w14:paraId="0000004C">
            <w:pPr>
              <w:pageBreakBefore w:val="0"/>
              <w:rPr>
                <w:sz w:val="22"/>
                <w:szCs w:val="22"/>
              </w:rPr>
            </w:pPr>
            <w:r w:rsidDel="00000000" w:rsidR="00000000" w:rsidRPr="00000000">
              <w:rPr>
                <w:rtl w:val="0"/>
              </w:rPr>
            </w:r>
          </w:p>
          <w:p w:rsidR="00000000" w:rsidDel="00000000" w:rsidP="00000000" w:rsidRDefault="00000000" w:rsidRPr="00000000" w14:paraId="0000004D">
            <w:pPr>
              <w:pageBreakBefore w:val="0"/>
              <w:rPr>
                <w:sz w:val="22"/>
                <w:szCs w:val="22"/>
              </w:rPr>
            </w:pPr>
            <w:r w:rsidDel="00000000" w:rsidR="00000000" w:rsidRPr="00000000">
              <w:rPr>
                <w:rtl w:val="0"/>
              </w:rPr>
            </w:r>
          </w:p>
          <w:p w:rsidR="00000000" w:rsidDel="00000000" w:rsidP="00000000" w:rsidRDefault="00000000" w:rsidRPr="00000000" w14:paraId="0000004E">
            <w:pPr>
              <w:pageBreakBefore w:val="0"/>
              <w:rPr>
                <w:sz w:val="22"/>
                <w:szCs w:val="22"/>
              </w:rPr>
            </w:pPr>
            <w:r w:rsidDel="00000000" w:rsidR="00000000" w:rsidRPr="00000000">
              <w:rPr>
                <w:rtl w:val="0"/>
              </w:rPr>
            </w:r>
          </w:p>
          <w:p w:rsidR="00000000" w:rsidDel="00000000" w:rsidP="00000000" w:rsidRDefault="00000000" w:rsidRPr="00000000" w14:paraId="0000004F">
            <w:pPr>
              <w:pageBreakBefore w:val="0"/>
              <w:rPr>
                <w:sz w:val="22"/>
                <w:szCs w:val="22"/>
              </w:rPr>
            </w:pPr>
            <w:r w:rsidDel="00000000" w:rsidR="00000000" w:rsidRPr="00000000">
              <w:rPr>
                <w:rtl w:val="0"/>
              </w:rPr>
            </w:r>
          </w:p>
          <w:p w:rsidR="00000000" w:rsidDel="00000000" w:rsidP="00000000" w:rsidRDefault="00000000" w:rsidRPr="00000000" w14:paraId="00000050">
            <w:pPr>
              <w:pageBreakBefore w:val="0"/>
              <w:rPr>
                <w:sz w:val="22"/>
                <w:szCs w:val="22"/>
              </w:rPr>
            </w:pPr>
            <w:r w:rsidDel="00000000" w:rsidR="00000000" w:rsidRPr="00000000">
              <w:rPr>
                <w:rtl w:val="0"/>
              </w:rPr>
            </w:r>
          </w:p>
          <w:p w:rsidR="00000000" w:rsidDel="00000000" w:rsidP="00000000" w:rsidRDefault="00000000" w:rsidRPr="00000000" w14:paraId="00000051">
            <w:pPr>
              <w:pageBreakBefore w:val="0"/>
              <w:rPr>
                <w:sz w:val="22"/>
                <w:szCs w:val="22"/>
              </w:rPr>
            </w:pPr>
            <w:r w:rsidDel="00000000" w:rsidR="00000000" w:rsidRPr="00000000">
              <w:rPr>
                <w:rtl w:val="0"/>
              </w:rPr>
            </w:r>
          </w:p>
          <w:p w:rsidR="00000000" w:rsidDel="00000000" w:rsidP="00000000" w:rsidRDefault="00000000" w:rsidRPr="00000000" w14:paraId="00000052">
            <w:pPr>
              <w:pageBreakBefore w:val="0"/>
              <w:rPr>
                <w:sz w:val="22"/>
                <w:szCs w:val="22"/>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No action</w:t>
            </w:r>
          </w:p>
        </w:tc>
      </w:tr>
      <w:tr>
        <w:trPr>
          <w:cantSplit w:val="0"/>
          <w:trHeight w:val="60" w:hRule="atLeast"/>
          <w:tblHeader w:val="0"/>
        </w:trPr>
        <w:tc>
          <w:tcPr/>
          <w:p w:rsidR="00000000" w:rsidDel="00000000" w:rsidP="00000000" w:rsidRDefault="00000000" w:rsidRPr="00000000" w14:paraId="00000054">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2015-2016 Committee Preferences</w:t>
              <w:br w:type="textWrapping"/>
              <w:br w:type="textWrapping"/>
            </w:r>
          </w:p>
          <w:p w:rsidR="00000000" w:rsidDel="00000000" w:rsidP="00000000" w:rsidRDefault="00000000" w:rsidRPr="00000000" w14:paraId="00000056">
            <w:pPr>
              <w:pageBreakBefore w:val="0"/>
              <w:rPr>
                <w:sz w:val="22"/>
                <w:szCs w:val="22"/>
              </w:rPr>
            </w:pPr>
            <w:r w:rsidDel="00000000" w:rsidR="00000000" w:rsidRPr="00000000">
              <w:rPr>
                <w:rtl w:val="0"/>
              </w:rPr>
            </w:r>
          </w:p>
          <w:p w:rsidR="00000000" w:rsidDel="00000000" w:rsidP="00000000" w:rsidRDefault="00000000" w:rsidRPr="00000000" w14:paraId="00000057">
            <w:pPr>
              <w:pageBreakBefore w:val="0"/>
              <w:rPr>
                <w:sz w:val="22"/>
                <w:szCs w:val="22"/>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Free Speech Policy</w:t>
              <w:br w:type="textWrapping"/>
              <w:br w:type="textWrapping"/>
            </w:r>
          </w:p>
          <w:p w:rsidR="00000000" w:rsidDel="00000000" w:rsidP="00000000" w:rsidRDefault="00000000" w:rsidRPr="00000000" w14:paraId="00000059">
            <w:pPr>
              <w:pageBreakBefore w:val="0"/>
              <w:rPr>
                <w:sz w:val="22"/>
                <w:szCs w:val="22"/>
              </w:rPr>
            </w:pPr>
            <w:r w:rsidDel="00000000" w:rsidR="00000000" w:rsidRPr="00000000">
              <w:rPr>
                <w:rtl w:val="0"/>
              </w:rPr>
            </w:r>
          </w:p>
          <w:p w:rsidR="00000000" w:rsidDel="00000000" w:rsidP="00000000" w:rsidRDefault="00000000" w:rsidRPr="00000000" w14:paraId="0000005A">
            <w:pPr>
              <w:pageBreakBefore w:val="0"/>
              <w:rPr>
                <w:sz w:val="22"/>
                <w:szCs w:val="22"/>
              </w:rPr>
            </w:pPr>
            <w:r w:rsidDel="00000000" w:rsidR="00000000" w:rsidRPr="00000000">
              <w:rPr>
                <w:rtl w:val="0"/>
              </w:rPr>
            </w:r>
          </w:p>
          <w:p w:rsidR="00000000" w:rsidDel="00000000" w:rsidP="00000000" w:rsidRDefault="00000000" w:rsidRPr="00000000" w14:paraId="0000005B">
            <w:pPr>
              <w:pageBreakBefore w:val="0"/>
              <w:rPr>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2014-15 MFS Chancellor Evaluation completed and viewed by new SEC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Agenda for the next SEC meeting was not generated.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BOR testimony</w:t>
            </w:r>
          </w:p>
        </w:tc>
        <w:tc>
          <w:tcPr/>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Referred committee preferences to CFS.  If no recommendations are received by 7/1/2015, then SEC will take action.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Bonnyjean is soliciting participation in a working group on EP 10.206 and has a meeting next Wednesday.  Discussion of who should be invited.</w:t>
              <w:br w:type="textWrapping"/>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action required.  SEC will discuss in the future how to provide feedback to the Chancellor</w:t>
            </w:r>
          </w:p>
          <w:p w:rsidR="00000000" w:rsidDel="00000000" w:rsidP="00000000" w:rsidRDefault="00000000" w:rsidRPr="00000000" w14:paraId="00000067">
            <w:pPr>
              <w:pageBreakBefore w:val="0"/>
              <w:rPr>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Next meeting will be determined by doodle poll.</w:t>
            </w:r>
          </w:p>
          <w:p w:rsidR="00000000" w:rsidDel="00000000" w:rsidP="00000000" w:rsidRDefault="00000000" w:rsidRPr="00000000" w14:paraId="00000069">
            <w:pPr>
              <w:pageBreakBefore w:val="0"/>
              <w:rPr>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32"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Marguerite to draft testimony based on previous CAB resolution pertaining to the budget task force and prior SEC testimony.</w:t>
            </w:r>
          </w:p>
          <w:p w:rsidR="00000000" w:rsidDel="00000000" w:rsidP="00000000" w:rsidRDefault="00000000" w:rsidRPr="00000000" w14:paraId="0000006B">
            <w:pPr>
              <w:pageBreakBefore w:val="0"/>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6C">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D">
            <w:pPr>
              <w:pageBreakBefore w:val="0"/>
              <w:rPr>
                <w:sz w:val="20"/>
                <w:szCs w:val="20"/>
              </w:rPr>
            </w:pPr>
            <w:r w:rsidDel="00000000" w:rsidR="00000000" w:rsidRPr="00000000">
              <w:rPr>
                <w:rtl w:val="0"/>
              </w:rPr>
            </w:r>
          </w:p>
        </w:tc>
        <w:tc>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Motion to adjourn by K. Withy; seconded by S. Rai.  All approved the motion.  Meeting adjourned at 3:30 pm.</w:t>
            </w:r>
          </w:p>
        </w:tc>
      </w:tr>
    </w:tbl>
    <w:p w:rsidR="00000000" w:rsidDel="00000000" w:rsidP="00000000" w:rsidRDefault="00000000" w:rsidRPr="00000000" w14:paraId="00000070">
      <w:pPr>
        <w:pageBreakBefore w:val="0"/>
        <w:rPr>
          <w:sz w:val="22"/>
          <w:szCs w:val="22"/>
        </w:rPr>
      </w:pPr>
      <w:r w:rsidDel="00000000" w:rsidR="00000000" w:rsidRPr="00000000">
        <w:rPr>
          <w:sz w:val="22"/>
          <w:szCs w:val="22"/>
          <w:rtl w:val="0"/>
        </w:rPr>
        <w:br w:type="textWrapping"/>
        <w:t xml:space="preserve">Respectfully submitted by Doug Vincent, SEC Secretary and Kelley Withy.</w:t>
      </w:r>
    </w:p>
    <w:p w:rsidR="00000000" w:rsidDel="00000000" w:rsidP="00000000" w:rsidRDefault="00000000" w:rsidRPr="00000000" w14:paraId="00000071">
      <w:pPr>
        <w:pageBreakBefore w:val="0"/>
        <w:rPr>
          <w:sz w:val="22"/>
          <w:szCs w:val="22"/>
        </w:rPr>
      </w:pPr>
      <w:r w:rsidDel="00000000" w:rsidR="00000000" w:rsidRPr="00000000">
        <w:rPr>
          <w:sz w:val="22"/>
          <w:szCs w:val="22"/>
          <w:rtl w:val="0"/>
        </w:rPr>
        <w:t xml:space="preserve">Approved unanimously on June 22, 2015.</w:t>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5">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0">
    <w:lvl w:ilvl="0">
      <w:start w:val="1"/>
      <w:numFmt w:val="decimal"/>
      <w:lvlText w:val="%1."/>
      <w:lvlJc w:val="left"/>
      <w:pPr>
        <w:ind w:left="432" w:hanging="360"/>
      </w:pPr>
      <w:rPr/>
    </w:lvl>
    <w:lvl w:ilvl="1">
      <w:start w:val="1"/>
      <w:numFmt w:val="lowerLetter"/>
      <w:lvlText w:val="%2."/>
      <w:lvlJc w:val="left"/>
      <w:pPr>
        <w:ind w:left="1152" w:hanging="360"/>
      </w:pPr>
      <w:rPr/>
    </w:lvl>
    <w:lvl w:ilvl="2">
      <w:start w:val="1"/>
      <w:numFmt w:val="lowerRoman"/>
      <w:lvlText w:val="%3."/>
      <w:lvlJc w:val="right"/>
      <w:pPr>
        <w:ind w:left="1872" w:hanging="180"/>
      </w:pPr>
      <w:rPr/>
    </w:lvl>
    <w:lvl w:ilvl="3">
      <w:start w:val="1"/>
      <w:numFmt w:val="decimal"/>
      <w:lvlText w:val="%4."/>
      <w:lvlJc w:val="left"/>
      <w:pPr>
        <w:ind w:left="2592" w:hanging="360"/>
      </w:pPr>
      <w:rPr/>
    </w:lvl>
    <w:lvl w:ilvl="4">
      <w:start w:val="1"/>
      <w:numFmt w:val="lowerLetter"/>
      <w:lvlText w:val="%5."/>
      <w:lvlJc w:val="left"/>
      <w:pPr>
        <w:ind w:left="3312" w:hanging="360"/>
      </w:pPr>
      <w:rPr/>
    </w:lvl>
    <w:lvl w:ilvl="5">
      <w:start w:val="1"/>
      <w:numFmt w:val="lowerRoman"/>
      <w:lvlText w:val="%6."/>
      <w:lvlJc w:val="right"/>
      <w:pPr>
        <w:ind w:left="4032" w:hanging="180"/>
      </w:pPr>
      <w:rPr/>
    </w:lvl>
    <w:lvl w:ilvl="6">
      <w:start w:val="1"/>
      <w:numFmt w:val="decimal"/>
      <w:lvlText w:val="%7."/>
      <w:lvlJc w:val="left"/>
      <w:pPr>
        <w:ind w:left="4752" w:hanging="360"/>
      </w:pPr>
      <w:rPr/>
    </w:lvl>
    <w:lvl w:ilvl="7">
      <w:start w:val="1"/>
      <w:numFmt w:val="lowerLetter"/>
      <w:lvlText w:val="%8."/>
      <w:lvlJc w:val="left"/>
      <w:pPr>
        <w:ind w:left="5472" w:hanging="360"/>
      </w:pPr>
      <w:rPr/>
    </w:lvl>
    <w:lvl w:ilvl="8">
      <w:start w:val="1"/>
      <w:numFmt w:val="lowerRoman"/>
      <w:lvlText w:val="%9."/>
      <w:lvlJc w:val="right"/>
      <w:pPr>
        <w:ind w:left="6192" w:hanging="180"/>
      </w:pPr>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