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t xml:space="preserve">September 28, 2015</w:t>
      </w:r>
      <w:r w:rsidDel="00000000" w:rsidR="00000000" w:rsidRPr="00000000">
        <w:rPr>
          <w:vertAlign w:val="baseline"/>
          <w:rtl w:val="0"/>
        </w:rPr>
        <w:t xml:space="preserve">     </w:t>
      </w:r>
      <w:r w:rsidDel="00000000" w:rsidR="00000000" w:rsidRPr="00000000">
        <w:rPr>
          <w:b w:val="1"/>
          <w:vertAlign w:val="baseline"/>
          <w:rtl w:val="0"/>
        </w:rPr>
        <w:t xml:space="preserve">2:00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52"/>
        <w:gridCol w:w="18"/>
        <w:gridCol w:w="720"/>
        <w:gridCol w:w="1485"/>
        <w:gridCol w:w="45"/>
        <w:gridCol w:w="1440"/>
        <w:tblGridChange w:id="0">
          <w:tblGrid>
            <w:gridCol w:w="2358"/>
            <w:gridCol w:w="270"/>
            <w:gridCol w:w="2070"/>
            <w:gridCol w:w="270"/>
            <w:gridCol w:w="2052"/>
            <w:gridCol w:w="18"/>
            <w:gridCol w:w="720"/>
            <w:gridCol w:w="1485"/>
            <w:gridCol w:w="45"/>
            <w:gridCol w:w="1440"/>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3"/>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11">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Jeff Kuhn </w:t>
            </w:r>
          </w:p>
        </w:tc>
        <w:tc>
          <w:tcPr>
            <w:gridSpan w:val="2"/>
            <w:vAlign w:val="top"/>
          </w:tcPr>
          <w:p w:rsidR="00000000" w:rsidDel="00000000" w:rsidP="00000000" w:rsidRDefault="00000000" w:rsidRPr="00000000" w14:paraId="00000017">
            <w:pPr>
              <w:pageBreakBefore w:val="0"/>
              <w:widowControl w:val="0"/>
              <w:jc w:val="both"/>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VP Young</w:t>
            </w:r>
          </w:p>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VCAFO Cutshaw</w:t>
            </w:r>
          </w:p>
        </w:tc>
        <w:tc>
          <w:tcPr>
            <w:gridSpan w:val="2"/>
            <w:vAlign w:val="top"/>
          </w:tcPr>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3 – 4:40 p.m.</w:t>
            </w:r>
          </w:p>
        </w:tc>
      </w:tr>
      <w:tr>
        <w:trPr>
          <w:cantSplit w:val="0"/>
          <w:trHeight w:val="260" w:hRule="atLeast"/>
          <w:tblHeader w:val="0"/>
        </w:trPr>
        <w:tc>
          <w:tcPr>
            <w:vAlign w:val="top"/>
          </w:tcPr>
          <w:p w:rsidR="00000000" w:rsidDel="00000000" w:rsidP="00000000" w:rsidRDefault="00000000" w:rsidRPr="00000000" w14:paraId="0000001D">
            <w:pPr>
              <w:pageBreakBefore w:val="0"/>
              <w:rPr>
                <w:vertAlign w:val="baseline"/>
              </w:rPr>
            </w:pPr>
            <w:r w:rsidDel="00000000" w:rsidR="00000000" w:rsidRPr="00000000">
              <w:rPr>
                <w:vertAlign w:val="baseline"/>
                <w:rtl w:val="0"/>
              </w:rPr>
              <w:t xml:space="preserve">Marguerite Butler -Vice Chair</w:t>
            </w:r>
          </w:p>
        </w:tc>
        <w:tc>
          <w:tcPr>
            <w:vAlign w:val="top"/>
          </w:tcPr>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F">
            <w:pPr>
              <w:pageBreakBefore w:val="0"/>
              <w:widowControl w:val="0"/>
              <w:jc w:val="both"/>
              <w:rPr>
                <w:vertAlign w:val="baseline"/>
              </w:rPr>
            </w:pPr>
            <w:r w:rsidDel="00000000" w:rsidR="00000000" w:rsidRPr="00000000">
              <w:rPr>
                <w:vertAlign w:val="baseline"/>
                <w:rtl w:val="0"/>
              </w:rPr>
              <w:t xml:space="preserve">Ashley Maynard</w:t>
            </w:r>
          </w:p>
        </w:tc>
        <w:tc>
          <w:tcPr>
            <w:vAlign w:val="top"/>
          </w:tcPr>
          <w:p w:rsidR="00000000" w:rsidDel="00000000" w:rsidP="00000000" w:rsidRDefault="00000000" w:rsidRPr="00000000" w14:paraId="00000020">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John Kinder - Staff</w:t>
            </w:r>
          </w:p>
        </w:tc>
        <w:tc>
          <w:tcPr>
            <w:gridSpan w:val="5"/>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P</w:t>
            </w:r>
          </w:p>
        </w:tc>
      </w:tr>
      <w:tr>
        <w:trPr>
          <w:cantSplit w:val="0"/>
          <w:trHeight w:val="260" w:hRule="atLeast"/>
          <w:tblHeader w:val="0"/>
        </w:trPr>
        <w:tc>
          <w:tcPr>
            <w:vAlign w:val="top"/>
          </w:tcPr>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Kelley Withy - SEC Secretary</w:t>
            </w:r>
          </w:p>
        </w:tc>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9">
            <w:pPr>
              <w:pageBreakBefore w:val="0"/>
              <w:rPr>
                <w:vertAlign w:val="baseline"/>
              </w:rPr>
            </w:pPr>
            <w:r w:rsidDel="00000000" w:rsidR="00000000" w:rsidRPr="00000000">
              <w:rPr>
                <w:vertAlign w:val="baseline"/>
                <w:rtl w:val="0"/>
              </w:rPr>
              <w:t xml:space="preserve">Sarita Rai</w:t>
            </w:r>
          </w:p>
        </w:tc>
        <w:tc>
          <w:tcPr>
            <w:vAlign w:val="top"/>
          </w:tcPr>
          <w:p w:rsidR="00000000" w:rsidDel="00000000" w:rsidP="00000000" w:rsidRDefault="00000000" w:rsidRPr="00000000" w14:paraId="0000002A">
            <w:pPr>
              <w:pageBreakBefore w:val="0"/>
              <w:rPr>
                <w:vertAlign w:val="baseline"/>
              </w:rPr>
            </w:pPr>
            <w:r w:rsidDel="00000000" w:rsidR="00000000" w:rsidRPr="00000000">
              <w:rPr>
                <w:vertAlign w:val="baseline"/>
                <w:rtl w:val="0"/>
              </w:rPr>
              <w:t xml:space="preserve">P</w:t>
            </w:r>
          </w:p>
        </w:tc>
        <w:tc>
          <w:tcPr>
            <w:gridSpan w:val="2"/>
            <w:vAlign w:val="top"/>
          </w:tcPr>
          <w:p w:rsidR="00000000" w:rsidDel="00000000" w:rsidP="00000000" w:rsidRDefault="00000000" w:rsidRPr="00000000" w14:paraId="0000002B">
            <w:pPr>
              <w:pageBreakBefore w:val="0"/>
              <w:widowControl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c>
          <w:tcPr>
            <w:gridSpan w:val="2"/>
            <w:vAlign w:val="top"/>
          </w:tcPr>
          <w:p w:rsidR="00000000" w:rsidDel="00000000" w:rsidP="00000000" w:rsidRDefault="00000000" w:rsidRPr="00000000" w14:paraId="0000002F">
            <w:pPr>
              <w:pageBreakBefore w:val="0"/>
              <w:rPr>
                <w:vertAlign w:val="baseline"/>
              </w:rPr>
            </w:pPr>
            <w:r w:rsidDel="00000000" w:rsidR="00000000" w:rsidRPr="00000000">
              <w:rPr>
                <w:rtl w:val="0"/>
              </w:rPr>
            </w:r>
          </w:p>
        </w:tc>
      </w:tr>
    </w:tbl>
    <w:p w:rsidR="00000000" w:rsidDel="00000000" w:rsidP="00000000" w:rsidRDefault="00000000" w:rsidRPr="00000000" w14:paraId="00000031">
      <w:pPr>
        <w:pageBreakBefore w:val="0"/>
        <w:rPr>
          <w:vertAlign w:val="baseline"/>
        </w:rPr>
      </w:pPr>
      <w:r w:rsidDel="00000000" w:rsidR="00000000" w:rsidRPr="00000000">
        <w:rPr>
          <w:rtl w:val="0"/>
        </w:rPr>
      </w:r>
    </w:p>
    <w:tbl>
      <w:tblPr>
        <w:tblStyle w:val="Table2"/>
        <w:tblW w:w="1083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618"/>
        <w:tblGridChange w:id="0">
          <w:tblGrid>
            <w:gridCol w:w="1998"/>
            <w:gridCol w:w="5220"/>
            <w:gridCol w:w="3618"/>
          </w:tblGrid>
        </w:tblGridChange>
      </w:tblGrid>
      <w:tr>
        <w:trPr>
          <w:cantSplit w:val="0"/>
          <w:tblHeader w:val="0"/>
        </w:trPr>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5">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Meeting was called to order by Chair Bob Cooney at 2:07 pm</w:t>
            </w:r>
          </w:p>
        </w:tc>
      </w:tr>
      <w:tr>
        <w:trPr>
          <w:cantSplit w:val="0"/>
          <w:trHeight w:val="740" w:hRule="atLeast"/>
          <w:tblHeader w:val="0"/>
        </w:trPr>
        <w:tc>
          <w:tcPr>
            <w:vAlign w:val="top"/>
          </w:tcPr>
          <w:p w:rsidR="00000000" w:rsidDel="00000000" w:rsidP="00000000" w:rsidRDefault="00000000" w:rsidRPr="00000000" w14:paraId="00000038">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September 21, 2015 SEC meeting had been circulated electronically before the meeting. </w:t>
              <w:br w:type="textWrapping"/>
            </w:r>
          </w:p>
        </w:tc>
        <w:tc>
          <w:tcPr>
            <w:vAlign w:val="top"/>
          </w:tcPr>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M. Butler to approve the minutes as amended; second by S. Rai. Passed unanimously.</w:t>
            </w:r>
          </w:p>
        </w:tc>
      </w:tr>
      <w:tr>
        <w:trPr>
          <w:cantSplit w:val="0"/>
          <w:trHeight w:val="420" w:hRule="atLeast"/>
          <w:tblHeader w:val="0"/>
        </w:trPr>
        <w:tc>
          <w:tcPr>
            <w:vAlign w:val="top"/>
          </w:tcPr>
          <w:p w:rsidR="00000000" w:rsidDel="00000000" w:rsidP="00000000" w:rsidRDefault="00000000" w:rsidRPr="00000000" w14:paraId="0000003B">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tax on RTRF. This is an alteration to operating budgets without consultation. There is an objection to its use for lawsuits based on the statute that set up RTRF. We are in a budget crisis mode and we need to examine how RTRF is spent. Equity is an issue.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Cooney attended the Student Fee Committee (SFC). There was a request from SONDH to increase the fee significantly for Dental Hygiene (DH) students. Note that DH students must also pay for specialty materials and supplies. The net cost for a DH student is approximately $20K/year. The Student Fee Committee rejected the increase.  Former Chancellor Hinshaw created the SFC when she implemented the Athletics Fee. Any fee proposal goes through the SFC, which makes recommendations to the chancellor. If the proposal passes, it then goes to the president and BOR.  </w:t>
            </w:r>
          </w:p>
        </w:tc>
        <w:tc>
          <w:tcPr>
            <w:vAlign w:val="top"/>
          </w:tcPr>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COR to look at how RTRF is allocated and used.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tc>
      </w:tr>
      <w:tr>
        <w:trPr>
          <w:cantSplit w:val="0"/>
          <w:trHeight w:val="420" w:hRule="atLeast"/>
          <w:tblHeader w:val="0"/>
        </w:trPr>
        <w:tc>
          <w:tcPr>
            <w:vAlign w:val="top"/>
          </w:tcPr>
          <w:p w:rsidR="00000000" w:rsidDel="00000000" w:rsidP="00000000" w:rsidRDefault="00000000" w:rsidRPr="00000000" w14:paraId="00000046">
            <w:pPr>
              <w:pageBreakBefore w:val="0"/>
              <w:rPr>
                <w:b w:val="0"/>
                <w:vertAlign w:val="baseline"/>
              </w:rPr>
            </w:pPr>
            <w:r w:rsidDel="00000000" w:rsidR="00000000" w:rsidRPr="00000000">
              <w:rPr>
                <w:b w:val="1"/>
                <w:vertAlign w:val="baseline"/>
                <w:rtl w:val="0"/>
              </w:rPr>
              <w:t xml:space="preserve">ACTION ITEMS</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 committee recommendations for SERG, CPM, MAC, CSA, SCAB, GC, CAPP, and AGC were accepted.  Another person is still needed on MAC.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 Manini moved to approve the CFS recommendations, and M. Butler seconded.  CFS recommendations were approved unanimously.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4B">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4C">
            <w:pPr>
              <w:pageBreakBefore w:val="0"/>
              <w:numPr>
                <w:ilvl w:val="0"/>
                <w:numId w:val="10"/>
              </w:numPr>
              <w:spacing w:after="100" w:before="100" w:lineRule="auto"/>
              <w:ind w:left="432" w:hanging="360"/>
              <w:rPr>
                <w:color w:val="000000"/>
              </w:rPr>
            </w:pPr>
            <w:r w:rsidDel="00000000" w:rsidR="00000000" w:rsidRPr="00000000">
              <w:rPr>
                <w:color w:val="000000"/>
                <w:vertAlign w:val="baseline"/>
                <w:rtl w:val="0"/>
              </w:rPr>
              <w:t xml:space="preserve">There was discussion of reporting incidents of mismanagement to the campus. </w:t>
            </w:r>
          </w:p>
        </w:tc>
        <w:tc>
          <w:tcPr>
            <w:vAlign w:val="top"/>
          </w:tcPr>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SEC will continue to discuss ways to do this. SEC will continue to present at BOR meetings.</w:t>
            </w:r>
          </w:p>
        </w:tc>
      </w:tr>
      <w:tr>
        <w:trPr>
          <w:cantSplit w:val="0"/>
          <w:trHeight w:val="1120" w:hRule="atLeast"/>
          <w:tblHeader w:val="0"/>
        </w:trPr>
        <w:tc>
          <w:tcPr>
            <w:vAlign w:val="top"/>
          </w:tcPr>
          <w:p w:rsidR="00000000" w:rsidDel="00000000" w:rsidP="00000000" w:rsidRDefault="00000000" w:rsidRPr="00000000" w14:paraId="0000004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 Young and VCAFO Cutshaw (2:55 pm).  K. Cutshaw indicated that the Budget Task Force of FY 2015 sent a report to the chancellor in June 2015.  The chancellor organized a small committee this summer, led by Bill Chismar, to finalize the report. Chismar’s group sent a report to the chancellor the week of September 21, 2015. There will be small-group meetings to present the report. Eventually Maenette Benham will lead a campus conversation about the budget.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 Young is not aware of specific Mānoa-System conversations about the budget.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 outside the university are being told that we at Mānoa are working toward a system that aligns teaching output with tuition dollars.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Guests were asked if they had confidence in the process.  Cutshaw said that the smaller group (of deans) was to refine the recommendations of the larger group. The small group is putting forward a recommendation. The chancellor is looking at how to communicate these thoughts to the community.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Cutshaw indicated that neither group had requested data for the models to see what the impacts would be.  However, the SEC would like to see models populated with data.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Cutshaw would like a model first, with numbers populated later. As of September 28, 2015, the faculty still has not seen a budget model.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G fund, Outreach, and RTRF “models” were left alone in the proposed model.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Cutshaw suggested that the SEC send a list of questions and requests to the chancellor to help him come up with a way to discuss this with the campus.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Frustration was expressed that we should be discussing solutions.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is low now on the campus.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redistributes revenues, but it doesn’t create more revenue.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asked for more faculty involvement in how decisions are made to allocate funds. We may need to come up with a solution to support units that don’t pay for themselves.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clarity on the status of the hiring freeze. All instructional faculty hires are subject to the VCAA’s approval.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asked if someone is monitoring the balance of the hires that the VCR recommends and the VCAA recommends, Cutshaw said, “No.” She explained that each VC is responsible for his/her own budget.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Cutshaw and the SEC noted that there has been no substantive discussion of priorities.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Report for FY 15 showed that revenues came in short of what was anticipated. But revenues were more than the previous year.  On the expenditure side, there was a greater amount of under expending, vs. what was forecast for expenditures. Spending was less than in FY 14.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Expenditures were constrained.  This translated to a plateau of the reserve spending.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73% of our expenses are in personnel at Mānoa. Enrollment is down and all the cost drivers are all increasing or set to increase.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SEC member noted, “Mānoa is the only campus in trouble in the system. The flagship is tanking, and everyone else is healthy.  Where does that come from and what are the differences?”  In response, Young said that   Mānoa is the most evolved and complex because it has a myriad of programs. Mānoa has larger loss leaders than other campuses.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not hiring tenure-track faculty on regular positions, and hiring lecturers, we are limiting ourselves on future hires. We get less and less support and this drives us toward bankruptcy as well.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VCAA did redistribute money across academic units.  Some units got an “augmentation.” Cutshaw was asked, “What were the criteria?”  She indicated that decisions were under the jurisdiction of the respective VC.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said that the perception right now is that UH, specifically Mānoa is not well managed. It doesn’t have a fiscal acuity about it. It’s not transparent.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Mānoa campus, 100% of G-funds are used for salaries.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Positives: The UH System gets 30% of its operating budget ($1.1B) out of G-funds. Roughly $400-412M is from G-funds. Compared to other state institutions, that is high state support. Since the fiscal crisis, as other university systems have lost public funding, the UH lost less, but there has been zero growth in public funding.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Lassner is looking at efficiency of operations across the System and Mānoa. He will have a progress report on that at the November board meeting.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81">
            <w:pPr>
              <w:pageBreakBefore w:val="0"/>
              <w:numPr>
                <w:ilvl w:val="0"/>
                <w:numId w:val="5"/>
              </w:numPr>
              <w:shd w:fill="ffffff" w:val="clear"/>
              <w:spacing w:after="240" w:lineRule="auto"/>
              <w:ind w:left="360" w:hanging="360"/>
              <w:rPr/>
            </w:pPr>
            <w:r w:rsidDel="00000000" w:rsidR="00000000" w:rsidRPr="00000000">
              <w:rPr>
                <w:vertAlign w:val="baseline"/>
                <w:rtl w:val="0"/>
              </w:rPr>
              <w:t xml:space="preserve">SEC will continue to monitor the Mānoa budget situation and to be involved in discussions.  </w:t>
            </w:r>
          </w:p>
        </w:tc>
      </w:tr>
      <w:tr>
        <w:trPr>
          <w:cantSplit w:val="0"/>
          <w:trHeight w:val="740" w:hRule="atLeast"/>
          <w:tblHeader w:val="0"/>
        </w:trPr>
        <w:tc>
          <w:tcPr>
            <w:vAlign w:val="top"/>
          </w:tcPr>
          <w:p w:rsidR="00000000" w:rsidDel="00000000" w:rsidP="00000000" w:rsidRDefault="00000000" w:rsidRPr="00000000" w14:paraId="00000082">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is meeting October 1 at 4 pm at HH 208.</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committee reports were postponed to the 10/5/15 meeting.</w:t>
            </w:r>
          </w:p>
        </w:tc>
        <w:tc>
          <w:tcPr>
            <w:vAlign w:val="top"/>
          </w:tcPr>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tc>
      </w:tr>
      <w:tr>
        <w:trPr>
          <w:cantSplit w:val="0"/>
          <w:trHeight w:val="60" w:hRule="atLeast"/>
          <w:tblHeader w:val="0"/>
        </w:trPr>
        <w:tc>
          <w:tcPr>
            <w:vAlign w:val="top"/>
          </w:tcPr>
          <w:p w:rsidR="00000000" w:rsidDel="00000000" w:rsidP="00000000" w:rsidRDefault="00000000" w:rsidRPr="00000000" w14:paraId="00000088">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89">
            <w:pPr>
              <w:pageBreakBefore w:val="0"/>
              <w:spacing w:after="100" w:before="100" w:lineRule="auto"/>
              <w:rPr>
                <w:color w:val="000000"/>
                <w:vertAlign w:val="baseline"/>
              </w:rPr>
            </w:pPr>
            <w:r w:rsidDel="00000000" w:rsidR="00000000" w:rsidRPr="00000000">
              <w:rPr>
                <w:color w:val="000000"/>
                <w:vertAlign w:val="baseline"/>
                <w:rtl w:val="0"/>
              </w:rPr>
              <w:t xml:space="preserve">None</w:t>
            </w:r>
          </w:p>
        </w:tc>
        <w:tc>
          <w:tcPr>
            <w:vAlign w:val="top"/>
          </w:tcPr>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1500" w:hRule="atLeast"/>
          <w:tblHeader w:val="0"/>
        </w:trPr>
        <w:tc>
          <w:tcPr>
            <w:vAlign w:val="top"/>
          </w:tcPr>
          <w:p w:rsidR="00000000" w:rsidDel="00000000" w:rsidP="00000000" w:rsidRDefault="00000000" w:rsidRPr="00000000" w14:paraId="0000008B">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8C">
            <w:pPr>
              <w:pageBreakBefore w:val="0"/>
              <w:spacing w:after="100" w:before="100" w:lineRule="auto"/>
              <w:rPr>
                <w:color w:val="000000"/>
                <w:vertAlign w:val="baseline"/>
              </w:rPr>
            </w:pPr>
            <w:r w:rsidDel="00000000" w:rsidR="00000000" w:rsidRPr="00000000">
              <w:rPr>
                <w:color w:val="000000"/>
                <w:vertAlign w:val="baseline"/>
                <w:rtl w:val="0"/>
              </w:rPr>
              <w:t xml:space="preserve">None</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8E">
            <w:pPr>
              <w:pageBreakBefore w:val="0"/>
              <w:ind w:right="-198"/>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8F">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October 5, 2015.</w:t>
              <w:br w:type="textWrapping"/>
            </w:r>
          </w:p>
          <w:p w:rsidR="00000000" w:rsidDel="00000000" w:rsidP="00000000" w:rsidRDefault="00000000" w:rsidRPr="00000000" w14:paraId="00000091">
            <w:pPr>
              <w:pageBreakBefore w:val="0"/>
              <w:shd w:fill="ffffff" w:val="clear"/>
              <w:spacing w:after="240" w:lineRule="auto"/>
              <w:rPr>
                <w:color w:val="444444"/>
                <w:vertAlign w:val="baseline"/>
              </w:rPr>
            </w:pPr>
            <w:r w:rsidDel="00000000" w:rsidR="00000000" w:rsidRPr="00000000">
              <w:rPr>
                <w:rtl w:val="0"/>
              </w:rPr>
            </w:r>
          </w:p>
        </w:tc>
        <w:tc>
          <w:tcPr>
            <w:vAlign w:val="top"/>
          </w:tcPr>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M. Butler; seconded by S. Rai.  All approved the motion.  Meeting adjourned at 5:45 pm.</w:t>
            </w:r>
          </w:p>
        </w:tc>
      </w:tr>
    </w:tbl>
    <w:p w:rsidR="00000000" w:rsidDel="00000000" w:rsidP="00000000" w:rsidRDefault="00000000" w:rsidRPr="00000000" w14:paraId="00000093">
      <w:pPr>
        <w:pageBreakBefore w:val="0"/>
        <w:rPr>
          <w:vertAlign w:val="baseline"/>
        </w:rPr>
      </w:pPr>
      <w:r w:rsidDel="00000000" w:rsidR="00000000" w:rsidRPr="00000000">
        <w:rPr>
          <w:vertAlign w:val="baseline"/>
          <w:rtl w:val="0"/>
        </w:rPr>
        <w:t xml:space="preserve">Respectfully submitted by Ashley Maynard, Senate Secretary </w:t>
      </w:r>
    </w:p>
    <w:p w:rsidR="00000000" w:rsidDel="00000000" w:rsidP="00000000" w:rsidRDefault="00000000" w:rsidRPr="00000000" w14:paraId="00000094">
      <w:pPr>
        <w:pageBreakBefore w:val="0"/>
        <w:rPr>
          <w:vertAlign w:val="baseline"/>
        </w:rPr>
      </w:pPr>
      <w:r w:rsidDel="00000000" w:rsidR="00000000" w:rsidRPr="00000000">
        <w:rPr>
          <w:vertAlign w:val="baseline"/>
          <w:rtl w:val="0"/>
        </w:rPr>
        <w:t xml:space="preserve">Approved unanimously on October 5, 2015.</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98">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