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ACADEMIC POLICY AND PLANNING</w:t>
      </w:r>
    </w:p>
    <w:p w:rsidR="00000000" w:rsidDel="00000000" w:rsidP="00000000" w:rsidRDefault="00000000" w:rsidRPr="00000000" w14:paraId="00000002">
      <w:pPr>
        <w:pageBreakBefore w:val="0"/>
        <w:spacing w:after="120" w:lineRule="auto"/>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11, 2013</w:t>
      </w: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5">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6">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448"/>
        <w:gridCol w:w="270"/>
        <w:gridCol w:w="3060"/>
        <w:gridCol w:w="270"/>
        <w:gridCol w:w="2520"/>
        <w:gridCol w:w="270"/>
        <w:gridCol w:w="1080"/>
        <w:gridCol w:w="810"/>
        <w:tblGridChange w:id="0">
          <w:tblGrid>
            <w:gridCol w:w="2448"/>
            <w:gridCol w:w="270"/>
            <w:gridCol w:w="3060"/>
            <w:gridCol w:w="270"/>
            <w:gridCol w:w="2520"/>
            <w:gridCol w:w="270"/>
            <w:gridCol w:w="1080"/>
            <w:gridCol w:w="810"/>
          </w:tblGrid>
        </w:tblGridChange>
      </w:tblGrid>
      <w:tr>
        <w:trPr>
          <w:cantSplit w:val="0"/>
          <w:tblHeader w:val="0"/>
        </w:trPr>
        <w:tc>
          <w:tcPr>
            <w:gridSpan w:val="2"/>
          </w:tcPr>
          <w:p w:rsidR="00000000" w:rsidDel="00000000" w:rsidP="00000000" w:rsidRDefault="00000000" w:rsidRPr="00000000" w14:paraId="00000007">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9">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B">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D">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0F">
            <w:pPr>
              <w:pageBreakBefore w:val="0"/>
              <w:rPr>
                <w:sz w:val="20"/>
                <w:szCs w:val="20"/>
              </w:rPr>
            </w:pPr>
            <w:r w:rsidDel="00000000" w:rsidR="00000000" w:rsidRPr="00000000">
              <w:rPr>
                <w:sz w:val="20"/>
                <w:szCs w:val="20"/>
                <w:rtl w:val="0"/>
              </w:rPr>
              <w:t xml:space="preserve">CHESNEY-LIND, Meda</w:t>
            </w:r>
          </w:p>
        </w:tc>
        <w:tc>
          <w:tcPr/>
          <w:p w:rsidR="00000000" w:rsidDel="00000000" w:rsidP="00000000" w:rsidRDefault="00000000" w:rsidRPr="00000000" w14:paraId="00000010">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RAI, Sarita</w:t>
            </w:r>
          </w:p>
        </w:tc>
        <w:tc>
          <w:tcPr/>
          <w:p w:rsidR="00000000" w:rsidDel="00000000" w:rsidP="00000000" w:rsidRDefault="00000000" w:rsidRPr="00000000" w14:paraId="00000012">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SORENSON, Trevor</w:t>
            </w:r>
          </w:p>
        </w:tc>
        <w:tc>
          <w:tcPr/>
          <w:p w:rsidR="00000000" w:rsidDel="00000000" w:rsidP="00000000" w:rsidRDefault="00000000" w:rsidRPr="00000000" w14:paraId="00000014">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15">
            <w:pPr>
              <w:pageBreakBefore w:val="0"/>
              <w:rPr>
                <w:sz w:val="20"/>
                <w:szCs w:val="20"/>
              </w:rPr>
            </w:pPr>
            <w:r w:rsidDel="00000000" w:rsidR="00000000" w:rsidRPr="00000000">
              <w:rPr>
                <w:rtl w:val="0"/>
              </w:rPr>
            </w:r>
          </w:p>
        </w:tc>
        <w:tc>
          <w:tcPr/>
          <w:p w:rsidR="00000000" w:rsidDel="00000000" w:rsidP="00000000" w:rsidRDefault="00000000" w:rsidRPr="00000000" w14:paraId="00000016">
            <w:pPr>
              <w:pageBreakBefore w:val="0"/>
              <w:rPr>
                <w:sz w:val="20"/>
                <w:szCs w:val="20"/>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ERTEKIN, R Cengiz</w:t>
            </w:r>
          </w:p>
        </w:tc>
        <w:tc>
          <w:tcPr/>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RODRIGUEZ, Julio</w:t>
            </w:r>
          </w:p>
        </w:tc>
        <w:tc>
          <w:tcPr/>
          <w:p w:rsidR="00000000" w:rsidDel="00000000" w:rsidP="00000000" w:rsidRDefault="00000000" w:rsidRPr="00000000" w14:paraId="0000001A">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VALENZUELA, Hector</w:t>
            </w:r>
          </w:p>
        </w:tc>
        <w:tc>
          <w:tcPr/>
          <w:p w:rsidR="00000000" w:rsidDel="00000000" w:rsidP="00000000" w:rsidRDefault="00000000" w:rsidRPr="00000000" w14:paraId="0000001C">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1D">
            <w:pPr>
              <w:pageBreakBefore w:val="0"/>
              <w:rPr>
                <w:sz w:val="20"/>
                <w:szCs w:val="20"/>
              </w:rPr>
            </w:pPr>
            <w:r w:rsidDel="00000000" w:rsidR="00000000" w:rsidRPr="00000000">
              <w:rPr>
                <w:rtl w:val="0"/>
              </w:rPr>
            </w:r>
          </w:p>
        </w:tc>
        <w:tc>
          <w:tcPr/>
          <w:p w:rsidR="00000000" w:rsidDel="00000000" w:rsidP="00000000" w:rsidRDefault="00000000" w:rsidRPr="00000000" w14:paraId="0000001E">
            <w:pPr>
              <w:pageBreakBefore w:val="0"/>
              <w:jc w:val="center"/>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ITO, Ken</w:t>
            </w:r>
          </w:p>
        </w:tc>
        <w:tc>
          <w:tcPr/>
          <w:p w:rsidR="00000000" w:rsidDel="00000000" w:rsidP="00000000" w:rsidRDefault="00000000" w:rsidRPr="00000000" w14:paraId="00000020">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SAFFERY, Maya</w:t>
            </w:r>
          </w:p>
        </w:tc>
        <w:tc>
          <w:tcPr/>
          <w:p w:rsidR="00000000" w:rsidDel="00000000" w:rsidP="00000000" w:rsidRDefault="00000000" w:rsidRPr="00000000" w14:paraId="00000022">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WERTHEIMER, Andrew</w:t>
            </w:r>
          </w:p>
        </w:tc>
        <w:tc>
          <w:tcPr/>
          <w:p w:rsidR="00000000" w:rsidDel="00000000" w:rsidP="00000000" w:rsidRDefault="00000000" w:rsidRPr="00000000" w14:paraId="00000024">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25">
            <w:pPr>
              <w:pageBreakBefore w:val="0"/>
              <w:rPr>
                <w:sz w:val="20"/>
                <w:szCs w:val="20"/>
              </w:rPr>
            </w:pPr>
            <w:r w:rsidDel="00000000" w:rsidR="00000000" w:rsidRPr="00000000">
              <w:rPr>
                <w:rtl w:val="0"/>
              </w:rPr>
            </w:r>
          </w:p>
        </w:tc>
        <w:tc>
          <w:tcPr/>
          <w:p w:rsidR="00000000" w:rsidDel="00000000" w:rsidP="00000000" w:rsidRDefault="00000000" w:rsidRPr="00000000" w14:paraId="00000026">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7">
            <w:pPr>
              <w:pageBreakBefore w:val="0"/>
              <w:rPr>
                <w:sz w:val="20"/>
                <w:szCs w:val="20"/>
              </w:rPr>
            </w:pPr>
            <w:r w:rsidDel="00000000" w:rsidR="00000000" w:rsidRPr="00000000">
              <w:rPr>
                <w:sz w:val="20"/>
                <w:szCs w:val="20"/>
                <w:rtl w:val="0"/>
              </w:rPr>
              <w:t xml:space="preserve">QURESHI, Kristine</w:t>
            </w:r>
          </w:p>
        </w:tc>
        <w:tc>
          <w:tcPr/>
          <w:p w:rsidR="00000000" w:rsidDel="00000000" w:rsidP="00000000" w:rsidRDefault="00000000" w:rsidRPr="00000000" w14:paraId="00000028">
            <w:pPr>
              <w:pageBreakBefore w:val="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29">
            <w:pPr>
              <w:pageBreakBefore w:val="0"/>
              <w:rPr>
                <w:sz w:val="20"/>
                <w:szCs w:val="20"/>
              </w:rPr>
            </w:pPr>
            <w:r w:rsidDel="00000000" w:rsidR="00000000" w:rsidRPr="00000000">
              <w:rPr>
                <w:sz w:val="20"/>
                <w:szCs w:val="20"/>
                <w:rtl w:val="0"/>
              </w:rPr>
              <w:t xml:space="preserve">SIMANU-KLUTZ, Manumaua</w:t>
            </w:r>
          </w:p>
        </w:tc>
        <w:tc>
          <w:tcPr/>
          <w:p w:rsidR="00000000" w:rsidDel="00000000" w:rsidP="00000000" w:rsidRDefault="00000000" w:rsidRPr="00000000" w14:paraId="0000002A">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WOODRUFF, Rosemarie</w:t>
            </w:r>
          </w:p>
        </w:tc>
        <w:tc>
          <w:tcPr/>
          <w:p w:rsidR="00000000" w:rsidDel="00000000" w:rsidP="00000000" w:rsidRDefault="00000000" w:rsidRPr="00000000" w14:paraId="0000002C">
            <w:pPr>
              <w:pageBreakBefore w:val="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2D">
            <w:pPr>
              <w:pageBreakBefore w:val="0"/>
              <w:rPr>
                <w:sz w:val="20"/>
                <w:szCs w:val="20"/>
              </w:rPr>
            </w:pPr>
            <w:r w:rsidDel="00000000" w:rsidR="00000000" w:rsidRPr="00000000">
              <w:rPr>
                <w:rtl w:val="0"/>
              </w:rPr>
            </w:r>
          </w:p>
        </w:tc>
        <w:tc>
          <w:tcPr/>
          <w:p w:rsidR="00000000" w:rsidDel="00000000" w:rsidP="00000000" w:rsidRDefault="00000000" w:rsidRPr="00000000" w14:paraId="0000002E">
            <w:pPr>
              <w:pageBreakBefore w:val="0"/>
              <w:jc w:val="center"/>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pageBreakBefore w:val="0"/>
              <w:rPr>
                <w:sz w:val="20"/>
                <w:szCs w:val="20"/>
              </w:rPr>
            </w:pPr>
            <w:r w:rsidDel="00000000" w:rsidR="00000000" w:rsidRPr="00000000">
              <w:rPr>
                <w:rtl w:val="0"/>
              </w:rPr>
            </w:r>
          </w:p>
        </w:tc>
        <w:tc>
          <w:tcPr/>
          <w:p w:rsidR="00000000" w:rsidDel="00000000" w:rsidP="00000000" w:rsidRDefault="00000000" w:rsidRPr="00000000" w14:paraId="00000030">
            <w:pPr>
              <w:pageBreakBefore w:val="0"/>
              <w:jc w:val="center"/>
              <w:rPr>
                <w:sz w:val="20"/>
                <w:szCs w:val="20"/>
              </w:rPr>
            </w:pPr>
            <w:r w:rsidDel="00000000" w:rsidR="00000000" w:rsidRPr="00000000">
              <w:rPr>
                <w:rtl w:val="0"/>
              </w:rPr>
            </w:r>
          </w:p>
        </w:tc>
        <w:tc>
          <w:tcPr/>
          <w:p w:rsidR="00000000" w:rsidDel="00000000" w:rsidP="00000000" w:rsidRDefault="00000000" w:rsidRPr="00000000" w14:paraId="00000031">
            <w:pPr>
              <w:pageBreakBefore w:val="0"/>
              <w:rPr>
                <w:sz w:val="20"/>
                <w:szCs w:val="20"/>
              </w:rPr>
            </w:pPr>
            <w:r w:rsidDel="00000000" w:rsidR="00000000" w:rsidRPr="00000000">
              <w:rPr>
                <w:rtl w:val="0"/>
              </w:rPr>
            </w:r>
          </w:p>
        </w:tc>
        <w:tc>
          <w:tcPr/>
          <w:p w:rsidR="00000000" w:rsidDel="00000000" w:rsidP="00000000" w:rsidRDefault="00000000" w:rsidRPr="00000000" w14:paraId="00000032">
            <w:pPr>
              <w:pageBreakBefore w:val="0"/>
              <w:jc w:val="center"/>
              <w:rPr>
                <w:sz w:val="20"/>
                <w:szCs w:val="20"/>
              </w:rPr>
            </w:pPr>
            <w:r w:rsidDel="00000000" w:rsidR="00000000" w:rsidRPr="00000000">
              <w:rPr>
                <w:rtl w:val="0"/>
              </w:rPr>
            </w:r>
          </w:p>
        </w:tc>
        <w:tc>
          <w:tcPr/>
          <w:p w:rsidR="00000000" w:rsidDel="00000000" w:rsidP="00000000" w:rsidRDefault="00000000" w:rsidRPr="00000000" w14:paraId="00000033">
            <w:pPr>
              <w:pageBreakBefore w:val="0"/>
              <w:rPr>
                <w:sz w:val="20"/>
                <w:szCs w:val="20"/>
              </w:rPr>
            </w:pPr>
            <w:r w:rsidDel="00000000" w:rsidR="00000000" w:rsidRPr="00000000">
              <w:rPr>
                <w:sz w:val="20"/>
                <w:szCs w:val="20"/>
                <w:rtl w:val="0"/>
              </w:rPr>
              <w:t xml:space="preserve">STEPHENSON, Carolyn (SEC Liaison)</w:t>
            </w:r>
          </w:p>
        </w:tc>
        <w:tc>
          <w:tcPr/>
          <w:p w:rsidR="00000000" w:rsidDel="00000000" w:rsidP="00000000" w:rsidRDefault="00000000" w:rsidRPr="00000000" w14:paraId="0000003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35">
            <w:pPr>
              <w:pageBreakBefore w:val="0"/>
              <w:rPr>
                <w:sz w:val="20"/>
                <w:szCs w:val="20"/>
              </w:rPr>
            </w:pPr>
            <w:r w:rsidDel="00000000" w:rsidR="00000000" w:rsidRPr="00000000">
              <w:rPr>
                <w:rtl w:val="0"/>
              </w:rPr>
            </w:r>
          </w:p>
        </w:tc>
        <w:tc>
          <w:tcPr/>
          <w:p w:rsidR="00000000" w:rsidDel="00000000" w:rsidP="00000000" w:rsidRDefault="00000000" w:rsidRPr="00000000" w14:paraId="00000036">
            <w:pPr>
              <w:pageBreakBefore w:val="0"/>
              <w:jc w:val="center"/>
              <w:rPr>
                <w:sz w:val="20"/>
                <w:szCs w:val="20"/>
              </w:rPr>
            </w:pPr>
            <w:r w:rsidDel="00000000" w:rsidR="00000000" w:rsidRPr="00000000">
              <w:rPr>
                <w:rtl w:val="0"/>
              </w:rPr>
            </w:r>
          </w:p>
        </w:tc>
      </w:tr>
    </w:tbl>
    <w:p w:rsidR="00000000" w:rsidDel="00000000" w:rsidP="00000000" w:rsidRDefault="00000000" w:rsidRPr="00000000" w14:paraId="00000037">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818"/>
        <w:gridCol w:w="6660"/>
        <w:gridCol w:w="2250"/>
        <w:tblGridChange w:id="0">
          <w:tblGrid>
            <w:gridCol w:w="1818"/>
            <w:gridCol w:w="6660"/>
            <w:gridCol w:w="2250"/>
          </w:tblGrid>
        </w:tblGridChange>
      </w:tblGrid>
      <w:tr>
        <w:trPr>
          <w:cantSplit w:val="0"/>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ACTION/STRATEGY/ RESPONSIBLE PERSON</w:t>
            </w:r>
          </w:p>
        </w:tc>
      </w:tr>
      <w:tr>
        <w:trPr>
          <w:cantSplit w:val="0"/>
          <w:trHeight w:val="86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meeting was called to order by Stephenson who is the SEC Liaison at 10:00am.  Stephenson and the six members of CAPP present introduced themselves, followed by a roll call to determine excused and absent members.</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r>
      <w:tr>
        <w:trPr>
          <w:cantSplit w:val="0"/>
          <w:trHeight w:val="408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item was the election of the CAPP Chair. Saffery was nominated and elected as the Chair of CAPP by a unanimous vote of 6-0. Chesney-Lind was then nominated and elected as Vice-Chair by a unanimous vote of 6-0. It was also decided to rotate the taking of minutes, rather than to have a CAPP secretary. The rotation will be in alphabetical order by last name. Ertekin took minutes for this first meeting. (Given that we did not have quorum at the time of these votes, the elections could not be confirmed.)</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12 members of CAPP this year and therefore CAPP will have more time to spend on each issue compared to last year.</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issues that we will deal with are introduced briefly. Although some members indicated their preferences for dealing with certain issues, it was decided to postpone the discussion until more CAPP members are present in the next meeting.</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was a proposal to eliminate tuition waivers of graduate research assistantships through including the tuition in proposals submitted to federal and private agencies to bring in more money to the university in these difficult financial times.  This will be conveyed to SEC as an issue to be discussed by the senate.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CAPP must select a member to represent us on the ad hoc Academic Procedures Committee established by Chancellor’s office.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was decided that CAPP will meet the second and fourth Wednesdays of each month at 1:00-2:15p.m.</w:t>
            </w:r>
          </w:p>
        </w:tc>
        <w:tc>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7">
            <w:pPr>
              <w:pageBreakBefore w:val="0"/>
              <w:rPr>
                <w:sz w:val="20"/>
                <w:szCs w:val="20"/>
              </w:rPr>
            </w:pPr>
            <w:r w:rsidDel="00000000" w:rsidR="00000000" w:rsidRPr="00000000">
              <w:rPr>
                <w:rtl w:val="0"/>
              </w:rPr>
            </w:r>
          </w:p>
        </w:tc>
        <w:tc>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meeting is adjourned at 11:10a.m.</w:t>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CAPP meeting is on September 25, 2013 at 1:00-2:15p.m.</w:t>
            </w:r>
          </w:p>
        </w:tc>
        <w:tc>
          <w:tcPr/>
          <w:p w:rsidR="00000000" w:rsidDel="00000000" w:rsidP="00000000" w:rsidRDefault="00000000" w:rsidRPr="00000000" w14:paraId="0000004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sz w:val="22"/>
          <w:szCs w:val="22"/>
          <w:rtl w:val="0"/>
        </w:rPr>
        <w:t xml:space="preserve">Respectfully submitted by Cengiz Ertekin </w:t>
        <w:tab/>
        <w:t xml:space="preserve">Approved on 9/25/13 unanimously by all those who were present (5).</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F">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Academic Policy and Planning (CAPP)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