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4"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pageBreakBefore w:val="0"/>
        <w:ind w:left="23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932" cy="2133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1932" cy="213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spacing w:before="23" w:line="240" w:lineRule="auto"/>
        <w:ind w:left="2487" w:right="0" w:firstLine="0"/>
        <w:jc w:val="left"/>
        <w:rPr>
          <w:b w:val="0"/>
        </w:rPr>
      </w:pPr>
      <w:r w:rsidDel="00000000" w:rsidR="00000000" w:rsidRPr="00000000">
        <w:rPr>
          <w:rtl w:val="0"/>
        </w:rPr>
        <w:t xml:space="preserve">COMMITTEE ON ACADEMIC POLICY AND PLANNING</w:t>
      </w:r>
      <w:r w:rsidDel="00000000" w:rsidR="00000000" w:rsidRPr="00000000">
        <w:rPr>
          <w:rtl w:val="0"/>
        </w:rPr>
      </w:r>
    </w:p>
    <w:p w:rsidR="00000000" w:rsidDel="00000000" w:rsidP="00000000" w:rsidRDefault="00000000" w:rsidRPr="00000000" w14:paraId="00000004">
      <w:pPr>
        <w:pageBreakBefore w:val="0"/>
        <w:spacing w:before="6" w:lineRule="auto"/>
        <w:ind w:left="230" w:right="0" w:firstLine="4484"/>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EETING </w:t>
      </w: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INUTES</w:t>
      </w:r>
      <w:r w:rsidDel="00000000" w:rsidR="00000000" w:rsidRPr="00000000">
        <w:rPr>
          <w:rtl w:val="0"/>
        </w:rPr>
      </w:r>
    </w:p>
    <w:p w:rsidR="00000000" w:rsidDel="00000000" w:rsidP="00000000" w:rsidRDefault="00000000" w:rsidRPr="00000000" w14:paraId="00000005">
      <w:pPr>
        <w:pageBreakBefore w:val="0"/>
        <w:spacing w:before="3"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06">
      <w:pPr>
        <w:pageBreakBefore w:val="0"/>
        <w:tabs>
          <w:tab w:val="left" w:leader="none" w:pos="2390"/>
        </w:tabs>
        <w:spacing w:before="0"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M</w:t>
      </w:r>
      <w:r w:rsidDel="00000000" w:rsidR="00000000" w:rsidRPr="00000000">
        <w:rPr>
          <w:rFonts w:ascii="Times New Roman" w:cs="Times New Roman" w:eastAsia="Times New Roman" w:hAnsi="Times New Roman"/>
          <w:b w:val="1"/>
          <w:sz w:val="17"/>
          <w:szCs w:val="17"/>
          <w:rtl w:val="0"/>
        </w:rPr>
        <w:t xml:space="preserve">EETING </w:t>
      </w:r>
      <w:r w:rsidDel="00000000" w:rsidR="00000000" w:rsidRPr="00000000">
        <w:rPr>
          <w:rFonts w:ascii="Times New Roman" w:cs="Times New Roman" w:eastAsia="Times New Roman" w:hAnsi="Times New Roman"/>
          <w:b w:val="1"/>
          <w:sz w:val="21"/>
          <w:szCs w:val="21"/>
          <w:rtl w:val="0"/>
        </w:rPr>
        <w:t xml:space="preserve">D</w:t>
      </w:r>
      <w:r w:rsidDel="00000000" w:rsidR="00000000" w:rsidRPr="00000000">
        <w:rPr>
          <w:rFonts w:ascii="Times New Roman" w:cs="Times New Roman" w:eastAsia="Times New Roman" w:hAnsi="Times New Roman"/>
          <w:b w:val="1"/>
          <w:sz w:val="17"/>
          <w:szCs w:val="17"/>
          <w:rtl w:val="0"/>
        </w:rPr>
        <w:t xml:space="preserve">ATE</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02 December 2014</w:t>
      </w:r>
    </w:p>
    <w:p w:rsidR="00000000" w:rsidDel="00000000" w:rsidP="00000000" w:rsidRDefault="00000000" w:rsidRPr="00000000" w14:paraId="00000007">
      <w:pPr>
        <w:pageBreakBefore w:val="0"/>
        <w:tabs>
          <w:tab w:val="left" w:leader="none" w:pos="2390"/>
        </w:tabs>
        <w:spacing w:before="8"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L</w:t>
      </w:r>
      <w:r w:rsidDel="00000000" w:rsidR="00000000" w:rsidRPr="00000000">
        <w:rPr>
          <w:rFonts w:ascii="Times New Roman" w:cs="Times New Roman" w:eastAsia="Times New Roman" w:hAnsi="Times New Roman"/>
          <w:b w:val="1"/>
          <w:sz w:val="17"/>
          <w:szCs w:val="17"/>
          <w:rtl w:val="0"/>
        </w:rPr>
        <w:t xml:space="preserve">OCATION</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Hawaii Hall 208</w:t>
      </w:r>
    </w:p>
    <w:p w:rsidR="00000000" w:rsidDel="00000000" w:rsidP="00000000" w:rsidRDefault="00000000" w:rsidRPr="00000000" w14:paraId="00000008">
      <w:pPr>
        <w:pageBreakBefore w:val="0"/>
        <w:tabs>
          <w:tab w:val="left" w:leader="none" w:pos="2390"/>
        </w:tabs>
        <w:spacing w:before="13"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w:t>
      </w:r>
      <w:r w:rsidDel="00000000" w:rsidR="00000000" w:rsidRPr="00000000">
        <w:rPr>
          <w:rFonts w:ascii="Times New Roman" w:cs="Times New Roman" w:eastAsia="Times New Roman" w:hAnsi="Times New Roman"/>
          <w:b w:val="1"/>
          <w:sz w:val="17"/>
          <w:szCs w:val="17"/>
          <w:rtl w:val="0"/>
        </w:rPr>
        <w:t xml:space="preserve">TTENDANCE</w:t>
      </w:r>
      <w:r w:rsidDel="00000000" w:rsidR="00000000" w:rsidRPr="00000000">
        <w:rPr>
          <w:rFonts w:ascii="Times New Roman" w:cs="Times New Roman" w:eastAsia="Times New Roman" w:hAnsi="Times New Roman"/>
          <w:b w:val="1"/>
          <w:sz w:val="21"/>
          <w:szCs w:val="21"/>
          <w:rtl w:val="0"/>
        </w:rPr>
        <w:t xml:space="preserve">:</w:t>
        <w:tab/>
      </w:r>
      <w:r w:rsidDel="00000000" w:rsidR="00000000" w:rsidRPr="00000000">
        <w:rPr>
          <w:rFonts w:ascii="Times New Roman" w:cs="Times New Roman" w:eastAsia="Times New Roman" w:hAnsi="Times New Roman"/>
          <w:sz w:val="21"/>
          <w:szCs w:val="21"/>
          <w:rtl w:val="0"/>
        </w:rPr>
        <w:t xml:space="preserve">[P = Present; A = Absent; E = Excused]</w:t>
      </w:r>
    </w:p>
    <w:p w:rsidR="00000000" w:rsidDel="00000000" w:rsidP="00000000" w:rsidRDefault="00000000" w:rsidRPr="00000000" w14:paraId="00000009">
      <w:pPr>
        <w:pageBreakBefore w:val="0"/>
        <w:spacing w:before="8" w:line="240" w:lineRule="auto"/>
        <w:rPr>
          <w:rFonts w:ascii="Times New Roman" w:cs="Times New Roman" w:eastAsia="Times New Roman" w:hAnsi="Times New Roman"/>
          <w:sz w:val="22"/>
          <w:szCs w:val="22"/>
        </w:rPr>
      </w:pPr>
      <w:r w:rsidDel="00000000" w:rsidR="00000000" w:rsidRPr="00000000">
        <w:rPr>
          <w:rtl w:val="0"/>
        </w:rPr>
      </w:r>
    </w:p>
    <w:tbl>
      <w:tblPr>
        <w:tblStyle w:val="Table1"/>
        <w:tblW w:w="10834.0" w:type="dxa"/>
        <w:jc w:val="left"/>
        <w:tblInd w:w="99.0" w:type="dxa"/>
        <w:tblLayout w:type="fixed"/>
        <w:tblLook w:val="0000"/>
      </w:tblPr>
      <w:tblGrid>
        <w:gridCol w:w="2554"/>
        <w:gridCol w:w="274"/>
        <w:gridCol w:w="2698"/>
        <w:gridCol w:w="542"/>
        <w:gridCol w:w="2520"/>
        <w:gridCol w:w="269"/>
        <w:gridCol w:w="1171"/>
        <w:gridCol w:w="806"/>
        <w:tblGridChange w:id="0">
          <w:tblGrid>
            <w:gridCol w:w="2554"/>
            <w:gridCol w:w="274"/>
            <w:gridCol w:w="2698"/>
            <w:gridCol w:w="542"/>
            <w:gridCol w:w="2520"/>
            <w:gridCol w:w="269"/>
            <w:gridCol w:w="1171"/>
            <w:gridCol w:w="806"/>
          </w:tblGrid>
        </w:tblGridChange>
      </w:tblGrid>
      <w:tr>
        <w:trPr>
          <w:cantSplit w:val="0"/>
          <w:trHeight w:val="280" w:hRule="atLeast"/>
          <w:tblHeader w:val="0"/>
        </w:trPr>
        <w:tc>
          <w:tcPr>
            <w:gridSpan w:val="2"/>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MEMBERS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GUESTS</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TIME</w:t>
            </w:r>
            <w:r w:rsidDel="00000000" w:rsidR="00000000" w:rsidRPr="00000000">
              <w:rPr>
                <w:rtl w:val="0"/>
              </w:rPr>
            </w:r>
          </w:p>
        </w:tc>
      </w:tr>
      <w:tr>
        <w:trPr>
          <w:cantSplit w:val="0"/>
          <w:trHeight w:val="50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BHATAWADEKAR,  Sai</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SIMANU-KLUTZ,</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Manumaua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WOODRUFF,  Rosemarie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8.00000000000006" w:lineRule="auto"/>
              <w:ind w:left="99" w:right="11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Francisco Hernandes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11:30</w:t>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CANYON, Deon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SORENSEN, Trevor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COONEY, Robert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1">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2">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KALLIANPUR,  Kalpana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STEPHENSON,  Carolyn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7">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8">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9">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2A">
            <w:pPr>
              <w:pageBreakBefore w:val="0"/>
              <w:rPr/>
            </w:pPr>
            <w:r w:rsidDel="00000000" w:rsidR="00000000" w:rsidRPr="00000000">
              <w:rPr>
                <w:rtl w:val="0"/>
              </w:rPr>
            </w:r>
          </w:p>
        </w:tc>
      </w:tr>
      <w:tr>
        <w:trPr>
          <w:cantSplit w:val="0"/>
          <w:trHeight w:val="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RAI, Sarita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VALENZUELA,  Hector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2F">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0">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1">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2">
            <w:pPr>
              <w:pageBreakBefore w:val="0"/>
              <w:rPr/>
            </w:pPr>
            <w:r w:rsidDel="00000000" w:rsidR="00000000" w:rsidRPr="00000000">
              <w:rPr>
                <w:rtl w:val="0"/>
              </w:rPr>
            </w:r>
          </w:p>
        </w:tc>
      </w:tr>
    </w:tbl>
    <w:p w:rsidR="00000000" w:rsidDel="00000000" w:rsidP="00000000" w:rsidRDefault="00000000" w:rsidRPr="00000000" w14:paraId="00000033">
      <w:pPr>
        <w:pageBreakBefore w:val="0"/>
        <w:spacing w:before="11" w:line="240" w:lineRule="auto"/>
        <w:rPr>
          <w:rFonts w:ascii="Times New Roman" w:cs="Times New Roman" w:eastAsia="Times New Roman" w:hAnsi="Times New Roman"/>
          <w:sz w:val="21"/>
          <w:szCs w:val="21"/>
        </w:rPr>
      </w:pPr>
      <w:r w:rsidDel="00000000" w:rsidR="00000000" w:rsidRPr="00000000">
        <w:rPr>
          <w:rtl w:val="0"/>
        </w:rPr>
      </w:r>
    </w:p>
    <w:tbl>
      <w:tblPr>
        <w:tblStyle w:val="Table2"/>
        <w:tblW w:w="11035.0" w:type="dxa"/>
        <w:jc w:val="left"/>
        <w:tblInd w:w="99.0" w:type="dxa"/>
        <w:tblLayout w:type="fixed"/>
        <w:tblLook w:val="0000"/>
      </w:tblPr>
      <w:tblGrid>
        <w:gridCol w:w="1397"/>
        <w:gridCol w:w="6691"/>
        <w:gridCol w:w="2947"/>
        <w:tblGridChange w:id="0">
          <w:tblGrid>
            <w:gridCol w:w="1397"/>
            <w:gridCol w:w="6691"/>
            <w:gridCol w:w="2947"/>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104" w:right="57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ACTION / STRATEGY / RESPONSIBLE  PERSON</w:t>
            </w:r>
            <w:r w:rsidDel="00000000" w:rsidR="00000000" w:rsidRPr="00000000">
              <w:rPr>
                <w:rtl w:val="0"/>
              </w:rPr>
            </w:r>
          </w:p>
        </w:tc>
      </w:tr>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24" w:right="37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CALL TO ORDER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Meeting called to order by Chair Carolyn Stephenson at 11:05 a.m.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9">
            <w:pPr>
              <w:pageBreakBefore w:val="0"/>
              <w:rPr/>
            </w:pPr>
            <w:r w:rsidDel="00000000" w:rsidR="00000000" w:rsidRPr="00000000">
              <w:rPr>
                <w:rtl w:val="0"/>
              </w:rPr>
            </w:r>
          </w:p>
        </w:tc>
      </w:tr>
      <w:tr>
        <w:trPr>
          <w:cantSplit w:val="0"/>
          <w:trHeight w:val="8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124" w:right="33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MINUTES 11.06.14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7" w:lineRule="auto"/>
              <w:ind w:left="104" w:right="58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Approved on December 2, 2014 with 5 votes in favor of approval, 0 against and 2 abstentions.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04" w:right="83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Next meeting minutes: Sarita</w:t>
            </w:r>
          </w:p>
        </w:tc>
      </w:tr>
      <w:tr>
        <w:trPr>
          <w:cantSplit w:val="0"/>
          <w:trHeight w:val="16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21.13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5" w:lineRule="auto"/>
              <w:ind w:left="104" w:right="11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Advising Students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Supposed to contact Gary Rodwell. Fatah was not sure why they need to contact him. Velocity measurement of 15 to Finish question – what is behind Velocity score on website? What is the measurement process? What do we need to know when advising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Need to invite him to future CAPP.</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7" w:lineRule="auto"/>
              <w:ind w:left="104" w:right="25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Fatah to ask Gary Rodwell to speak to CAPP</w:t>
            </w:r>
          </w:p>
        </w:tc>
      </w:tr>
      <w:tr>
        <w:trPr>
          <w:cantSplit w:val="0"/>
          <w:trHeight w:val="3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Issue 4.15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04" w:right="44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Prior Learning Assessment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Handout was provided by Deon. A letter from Chair of SEC asked Dasenbrock to look into this.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4" w:right="104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Policy is for community colleges. PLA just in process of being implemented (started in 2012).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0" w:lineRule="auto"/>
              <w:ind w:left="104" w:right="245"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Question as to whether Legislature is meddling in academic affairs with House Bill 2639 H.D. 2 2012. College level learning is missing. We are not sure if bill passed.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CAPP should read Deon’s report and its links.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0" w:lineRule="auto"/>
              <w:ind w:left="104" w:right="14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WASC Sr. &amp; Jr. criteria – Wendy Pearson (of VCAA office) sent both to Sai. Open and vague. Let institutions decide, but all evidence has to be documented.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2.00000000000003" w:lineRule="auto"/>
              <w:ind w:left="104" w:right="30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Real issue is the quality of these – how will UHM assess quality of AA degree when accepted by UHM if PLA in included in this.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104" w:right="41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Deon to check if H.B. 2639 passed.</w:t>
            </w:r>
          </w:p>
        </w:tc>
      </w:tr>
      <w:tr>
        <w:trPr>
          <w:cantSplit w:val="0"/>
          <w:trHeight w:val="12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4"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Issue 24.14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5" w:lineRule="auto"/>
              <w:ind w:left="104" w:right="11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International Admission Requirements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Francisco Hernandez, VC for Students, attended as a guest. They are dropping SAT requirements for certain cases with international students.  Fall 2013 hired new Asst. VC for Enrollment &amp; Admissions, who was asked to look at current  processes and procedures to improve and increase student enrollment. He</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5" w:lineRule="auto"/>
              <w:ind w:left="104" w:right="45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Trevor to send copy of University of Michigan policies for foreign student admissions to Carolyn &amp; Sarita</w:t>
            </w:r>
          </w:p>
        </w:tc>
      </w:tr>
    </w:tbl>
    <w:p w:rsidR="00000000" w:rsidDel="00000000" w:rsidP="00000000" w:rsidRDefault="00000000" w:rsidRPr="00000000" w14:paraId="0000004C">
      <w:pPr>
        <w:pageBreakBefore w:val="0"/>
        <w:spacing w:after="0" w:line="255" w:lineRule="auto"/>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sectPr>
          <w:headerReference r:id="rId7" w:type="default"/>
          <w:footerReference r:id="rId8" w:type="default"/>
          <w:pgSz w:h="15840" w:w="12240" w:orient="portrait"/>
          <w:pgMar w:bottom="1660" w:top="1940" w:left="500" w:right="48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spacing w:before="4"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pageBreakBefore w:val="0"/>
        <w:ind w:left="23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932" cy="2133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1932" cy="21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spacing w:before="3" w:line="240" w:lineRule="auto"/>
        <w:rPr>
          <w:rFonts w:ascii="Times New Roman" w:cs="Times New Roman" w:eastAsia="Times New Roman" w:hAnsi="Times New Roman"/>
          <w:sz w:val="2"/>
          <w:szCs w:val="2"/>
        </w:rPr>
      </w:pPr>
      <w:r w:rsidDel="00000000" w:rsidR="00000000" w:rsidRPr="00000000">
        <w:rPr>
          <w:rtl w:val="0"/>
        </w:rPr>
      </w:r>
    </w:p>
    <w:tbl>
      <w:tblPr>
        <w:tblStyle w:val="Table3"/>
        <w:tblW w:w="11035.0" w:type="dxa"/>
        <w:jc w:val="left"/>
        <w:tblInd w:w="99.0" w:type="dxa"/>
        <w:tblLayout w:type="fixed"/>
        <w:tblLook w:val="0000"/>
      </w:tblPr>
      <w:tblGrid>
        <w:gridCol w:w="1397"/>
        <w:gridCol w:w="6691"/>
        <w:gridCol w:w="2947"/>
        <w:tblGridChange w:id="0">
          <w:tblGrid>
            <w:gridCol w:w="1397"/>
            <w:gridCol w:w="6691"/>
            <w:gridCol w:w="2947"/>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SUBJECT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104" w:right="57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ACTION / STRATEGY / RESPONSIBLE  PERSON</w:t>
            </w:r>
            <w:r w:rsidDel="00000000" w:rsidR="00000000" w:rsidRPr="00000000">
              <w:rPr>
                <w:rtl w:val="0"/>
              </w:rPr>
            </w:r>
          </w:p>
        </w:tc>
      </w:tr>
      <w:tr>
        <w:trPr>
          <w:cantSplit w:val="0"/>
          <w:trHeight w:val="8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4">
            <w:pPr>
              <w:pageBreakBefore w:val="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3" w:lineRule="auto"/>
              <w:ind w:left="104" w:right="15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came up with list – some were practices and procedures that concerned students. Changes were implemented. One area identified was international student recruitment. Changed website. Some countries  don’t have access to SAT or ACT testing. Decided to allow these cases  to submit scores from their national tests. Hernandes saw this as not change in policy but just interpretation. Asst. VC for Enrollment and Admissions was supposed to consult with CAPP, but didn’t. He resigned in March. New Asst. VC,E&amp;A, Roxie Shabasz, was hired a month ago. Should come to CAPP to consult.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4" w:right="12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Want to look at higher GPA requirement for other states – policy (1998) needs to be revisited. New policy is available to international students. TOEFL is required for non-English speaking students. Sarita had a concern that foreign educational systems may not prepare students for UH (China given as example). Policy change is not meant to make it easier for admission, but open university up to students who don’t have SAT access. Some students are admitted on conditional status. KCC also provides means for foreign students to gain English proficiency.  NICE program also helps. There was a concern about some international students losing face if they fail here and commit suicide. Issue of number of falsification of records (bad agents). University working student services programs to address needs of foreign students. China’s policies pose problems (1 child per family, role of females). Some females don’t want to return to restrictive societies (e.g., Muslim). Some students sent here to spy on other students. Acceptance of mental issues here versus country of origin. Some students don’t want to graduate so they can stay here. International students get scholarships or tuition waivers only from UH, not the government.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4" w:right="39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Trevor showed a printout of the policy for admitting international students from the University of Michigan. They also have a SAT requirement, but when that isn’t available, they list the national exams that are acceptable as substitutes.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A">
            <w:pPr>
              <w:pageBreakBefore w:val="0"/>
              <w:rPr/>
            </w:pPr>
            <w:r w:rsidDel="00000000" w:rsidR="00000000" w:rsidRPr="00000000">
              <w:rPr>
                <w:rtl w:val="0"/>
              </w:rPr>
            </w:r>
          </w:p>
        </w:tc>
      </w:tr>
      <w:tr>
        <w:trPr>
          <w:cantSplit w:val="0"/>
          <w:trHeight w:val="10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12.13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4" w:lineRule="auto"/>
              <w:ind w:left="104" w:right="24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Admissions Policy</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Still in works. Francisco asked if needs be to higher priority for review. Strong ties with Washington, Oregon, and USC (Hawaiian colonies), who want to send their children to UH. Need articulation agreements with feeder colleges in these areas.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5D">
            <w:pPr>
              <w:pageBreakBefore w:val="0"/>
              <w:rPr/>
            </w:pPr>
            <w:r w:rsidDel="00000000" w:rsidR="00000000" w:rsidRPr="00000000">
              <w:rPr>
                <w:rtl w:val="0"/>
              </w:rPr>
            </w:r>
          </w:p>
        </w:tc>
      </w:tr>
      <w:tr>
        <w:trPr>
          <w:cantSplit w:val="0"/>
          <w:trHeight w:val="154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24"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Issue 9.13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5" w:lineRule="auto"/>
              <w:ind w:left="104" w:right="1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Governance of Interdisciplinary Programs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Carolyn has letter from Cambra with policy suggesting limit programs to 5 year incubation  period in IS. Interdisciplinary Study Programs can approve majors – does not come to CAPP. The question is, should it? We don’t know how many ISPs there are or how many are majors.</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5" w:lineRule="auto"/>
              <w:ind w:left="104" w:right="509"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Sai to request data on how many ISPs and how many majors there are from I.S.</w:t>
            </w:r>
          </w:p>
        </w:tc>
      </w:tr>
    </w:tbl>
    <w:p w:rsidR="00000000" w:rsidDel="00000000" w:rsidP="00000000" w:rsidRDefault="00000000" w:rsidRPr="00000000" w14:paraId="00000061">
      <w:pPr>
        <w:pageBreakBefore w:val="0"/>
        <w:spacing w:after="0" w:line="255"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sectPr>
          <w:type w:val="continuous"/>
          <w:pgSz w:h="15840" w:w="12240" w:orient="portrait"/>
          <w:pgMar w:bottom="1660" w:top="1940" w:left="500" w:right="48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63">
      <w:pPr>
        <w:pageBreakBefore w:val="0"/>
        <w:spacing w:before="4"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pageBreakBefore w:val="0"/>
        <w:ind w:left="235" w:right="0" w:firstLine="0"/>
        <w:rPr>
          <w:rFonts w:ascii="Times New Roman" w:cs="Times New Roman" w:eastAsia="Times New Roman" w:hAnsi="Times New Roman"/>
          <w:sz w:val="3"/>
          <w:szCs w:val="3"/>
        </w:rPr>
      </w:pPr>
      <w:r w:rsidDel="00000000" w:rsidR="00000000" w:rsidRPr="00000000">
        <w:rPr>
          <w:rFonts w:ascii="Times New Roman" w:cs="Times New Roman" w:eastAsia="Times New Roman" w:hAnsi="Times New Roman"/>
          <w:sz w:val="3"/>
          <w:szCs w:val="3"/>
        </w:rPr>
        <w:drawing>
          <wp:inline distB="0" distT="0" distL="0" distR="0">
            <wp:extent cx="6851932" cy="2133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1932" cy="213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before="3" w:line="240" w:lineRule="auto"/>
        <w:rPr>
          <w:rFonts w:ascii="Times New Roman" w:cs="Times New Roman" w:eastAsia="Times New Roman" w:hAnsi="Times New Roman"/>
          <w:sz w:val="2"/>
          <w:szCs w:val="2"/>
        </w:rPr>
      </w:pPr>
      <w:r w:rsidDel="00000000" w:rsidR="00000000" w:rsidRPr="00000000">
        <w:rPr>
          <w:rtl w:val="0"/>
        </w:rPr>
      </w:r>
    </w:p>
    <w:tbl>
      <w:tblPr>
        <w:tblStyle w:val="Table4"/>
        <w:tblW w:w="11035.0" w:type="dxa"/>
        <w:jc w:val="left"/>
        <w:tblInd w:w="99.0" w:type="dxa"/>
        <w:tblLayout w:type="fixed"/>
        <w:tblLook w:val="0000"/>
      </w:tblPr>
      <w:tblGrid>
        <w:gridCol w:w="1397"/>
        <w:gridCol w:w="110"/>
        <w:gridCol w:w="389"/>
        <w:gridCol w:w="6192"/>
        <w:gridCol w:w="2947"/>
        <w:tblGridChange w:id="0">
          <w:tblGrid>
            <w:gridCol w:w="1397"/>
            <w:gridCol w:w="110"/>
            <w:gridCol w:w="389"/>
            <w:gridCol w:w="6192"/>
            <w:gridCol w:w="2947"/>
          </w:tblGrid>
        </w:tblGridChange>
      </w:tblGrid>
      <w:tr>
        <w:trPr>
          <w:cantSplit w:val="0"/>
          <w:trHeight w:val="4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SUBJECT</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DISCUSSION /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104" w:right="57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ACTION / STRATEGY / RESPONSIBLE  PERSON</w:t>
            </w:r>
            <w:r w:rsidDel="00000000" w:rsidR="00000000" w:rsidRPr="00000000">
              <w:rPr>
                <w:rtl w:val="0"/>
              </w:rPr>
            </w:r>
          </w:p>
        </w:tc>
      </w:tr>
      <w:tr>
        <w:trPr>
          <w:cantSplit w:val="0"/>
          <w:trHeight w:val="5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13.13</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7" w:lineRule="auto"/>
              <w:ind w:left="104" w:right="94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Streamlining of administrative procedures with regard to course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approvals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No report</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6F">
            <w:pPr>
              <w:pageBreakBefore w:val="0"/>
              <w:rPr/>
            </w:pPr>
            <w:r w:rsidDel="00000000" w:rsidR="00000000" w:rsidRPr="00000000">
              <w:rPr>
                <w:rtl w:val="0"/>
              </w:rPr>
            </w:r>
          </w:p>
        </w:tc>
      </w:tr>
      <w:tr>
        <w:trPr>
          <w:cantSplit w:val="0"/>
          <w:trHeight w:val="5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13.14</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Kuali curriculum management system</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No report</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74">
            <w:pPr>
              <w:pageBreakBefore w:val="0"/>
              <w:rPr/>
            </w:pPr>
            <w:r w:rsidDel="00000000" w:rsidR="00000000" w:rsidRPr="00000000">
              <w:rPr>
                <w:rtl w:val="0"/>
              </w:rPr>
            </w:r>
          </w:p>
        </w:tc>
      </w:tr>
      <w:tr>
        <w:trPr>
          <w:cantSplit w:val="0"/>
          <w:trHeight w:val="7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26.12</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5" w:lineRule="auto"/>
              <w:ind w:left="104" w:right="67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Undergraduate degree plan implementation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Cooney reported Administration says no changes made, and he will not pursue issue further at this point.</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79">
            <w:pPr>
              <w:pageBreakBefore w:val="0"/>
              <w:rPr/>
            </w:pPr>
            <w:r w:rsidDel="00000000" w:rsidR="00000000" w:rsidRPr="00000000">
              <w:rPr>
                <w:rtl w:val="0"/>
              </w:rPr>
            </w:r>
          </w:p>
        </w:tc>
      </w:tr>
      <w:tr>
        <w:trPr>
          <w:cantSplit w:val="0"/>
          <w:trHeight w:val="42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Issue 34.12</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04"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 addressed</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7E">
            <w:pPr>
              <w:pageBreakBefore w:val="0"/>
              <w:rPr/>
            </w:pPr>
            <w:r w:rsidDel="00000000" w:rsidR="00000000" w:rsidRPr="00000000">
              <w:rPr>
                <w:rtl w:val="0"/>
              </w:rPr>
            </w:r>
          </w:p>
        </w:tc>
      </w:tr>
      <w:tr>
        <w:trPr>
          <w:cantSplit w:val="0"/>
          <w:trHeight w:val="68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3" w:lineRule="auto"/>
              <w:ind w:left="124" w:right="31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Calendar – CAPP</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schedule</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4" w:right="2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Spring 2015 schedule:  11 AM – noon on 2</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4</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Wednesday of each month.  Next meeting 11 a.m. January 14, 2015.</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84">
            <w:pPr>
              <w:pageBreakBefore w:val="0"/>
              <w:rPr/>
            </w:pPr>
            <w:r w:rsidDel="00000000" w:rsidR="00000000" w:rsidRPr="00000000">
              <w:rPr>
                <w:rtl w:val="0"/>
              </w:rPr>
            </w:r>
          </w:p>
        </w:tc>
      </w:tr>
      <w:tr>
        <w:trPr>
          <w:cantSplit w:val="0"/>
          <w:trHeight w:val="260" w:hRule="atLeast"/>
          <w:tblHeader w:val="0"/>
        </w:trPr>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Adjourned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86">
            <w:pPr>
              <w:pageBreakBefore w:val="0"/>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shd w:fill="ffff00"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1:00</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57"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pm</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089">
            <w:pPr>
              <w:pageBreakBefore w:val="0"/>
              <w:rPr/>
            </w:pPr>
            <w:r w:rsidDel="00000000" w:rsidR="00000000" w:rsidRPr="00000000">
              <w:rPr>
                <w:rtl w:val="0"/>
              </w:rPr>
            </w:r>
          </w:p>
        </w:tc>
      </w:tr>
    </w:tbl>
    <w:p w:rsidR="00000000" w:rsidDel="00000000" w:rsidP="00000000" w:rsidRDefault="00000000" w:rsidRPr="00000000" w14:paraId="0000008A">
      <w:pPr>
        <w:pageBreakBefore w:val="0"/>
        <w:spacing w:before="9"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8B">
      <w:pPr>
        <w:pStyle w:val="Heading2"/>
        <w:pageBreakBefore w:val="0"/>
        <w:spacing w:before="77" w:line="240" w:lineRule="auto"/>
        <w:ind w:right="0"/>
        <w:jc w:val="left"/>
        <w:rPr/>
      </w:pPr>
      <w:r w:rsidDel="00000000" w:rsidR="00000000" w:rsidRPr="00000000">
        <w:rPr>
          <w:rtl w:val="0"/>
        </w:rPr>
        <w:t xml:space="preserve">Respectfully submitted by Trevor Sorensen</w:t>
      </w:r>
    </w:p>
    <w:p w:rsidR="00000000" w:rsidDel="00000000" w:rsidP="00000000" w:rsidRDefault="00000000" w:rsidRPr="00000000" w14:paraId="0000008C">
      <w:pPr>
        <w:pageBreakBefore w:val="0"/>
        <w:spacing w:before="13" w:lineRule="auto"/>
        <w:ind w:left="23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Approved on </w:t>
      </w:r>
      <w:r w:rsidDel="00000000" w:rsidR="00000000" w:rsidRPr="00000000">
        <w:rPr>
          <w:rFonts w:ascii="Times New Roman" w:cs="Times New Roman" w:eastAsia="Times New Roman" w:hAnsi="Times New Roman"/>
          <w:sz w:val="21"/>
          <w:szCs w:val="21"/>
          <w:highlight w:val="yellow"/>
          <w:rtl w:val="0"/>
        </w:rPr>
        <w:t xml:space="preserve">1/28/15 </w:t>
      </w:r>
      <w:r w:rsidDel="00000000" w:rsidR="00000000" w:rsidRPr="00000000">
        <w:rPr>
          <w:rFonts w:ascii="Times New Roman" w:cs="Times New Roman" w:eastAsia="Times New Roman" w:hAnsi="Times New Roman"/>
          <w:sz w:val="21"/>
          <w:szCs w:val="21"/>
          <w:rtl w:val="0"/>
        </w:rPr>
        <w:t xml:space="preserve">with </w:t>
      </w:r>
      <w:r w:rsidDel="00000000" w:rsidR="00000000" w:rsidRPr="00000000">
        <w:rPr>
          <w:rFonts w:ascii="Times New Roman" w:cs="Times New Roman" w:eastAsia="Times New Roman" w:hAnsi="Times New Roman"/>
          <w:sz w:val="21"/>
          <w:szCs w:val="21"/>
          <w:highlight w:val="yellow"/>
          <w:rtl w:val="0"/>
        </w:rPr>
        <w:t xml:space="preserve">6 </w:t>
      </w:r>
      <w:r w:rsidDel="00000000" w:rsidR="00000000" w:rsidRPr="00000000">
        <w:rPr>
          <w:rFonts w:ascii="Times New Roman" w:cs="Times New Roman" w:eastAsia="Times New Roman" w:hAnsi="Times New Roman"/>
          <w:sz w:val="21"/>
          <w:szCs w:val="21"/>
          <w:rtl w:val="0"/>
        </w:rPr>
        <w:t xml:space="preserve">votes in favor of approval and </w:t>
      </w:r>
      <w:r w:rsidDel="00000000" w:rsidR="00000000" w:rsidRPr="00000000">
        <w:rPr>
          <w:rFonts w:ascii="Times New Roman" w:cs="Times New Roman" w:eastAsia="Times New Roman" w:hAnsi="Times New Roman"/>
          <w:sz w:val="21"/>
          <w:szCs w:val="21"/>
          <w:highlight w:val="yellow"/>
          <w:rtl w:val="0"/>
        </w:rPr>
        <w:t xml:space="preserve">0 </w:t>
      </w:r>
      <w:r w:rsidDel="00000000" w:rsidR="00000000" w:rsidRPr="00000000">
        <w:rPr>
          <w:rFonts w:ascii="Times New Roman" w:cs="Times New Roman" w:eastAsia="Times New Roman" w:hAnsi="Times New Roman"/>
          <w:sz w:val="21"/>
          <w:szCs w:val="21"/>
          <w:rtl w:val="0"/>
        </w:rPr>
        <w:t xml:space="preserve">against.</w:t>
      </w:r>
    </w:p>
    <w:sectPr>
      <w:type w:val="continuous"/>
      <w:pgSz w:h="15840" w:w="12240" w:orient="portrait"/>
      <w:pgMar w:bottom="1660" w:top="1940" w:left="500" w:right="4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spacing w:after="1463" w:before="0" w:line="14"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spacing w:after="0" w:before="732" w:line="14" w:lineRule="auto"/>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578104</wp:posOffset>
          </wp:positionH>
          <wp:positionV relativeFrom="paragraph">
            <wp:posOffset>464819</wp:posOffset>
          </wp:positionV>
          <wp:extent cx="2225040" cy="771142"/>
          <wp:effectExtent b="0" l="0" r="0" t="0"/>
          <wp:wrapSquare wrapText="bothSides" distB="0" distT="0" distL="114300" distR="114300"/>
          <wp:docPr id="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225040" cy="77114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4388104</wp:posOffset>
          </wp:positionH>
          <wp:positionV relativeFrom="paragraph">
            <wp:posOffset>624840</wp:posOffset>
          </wp:positionV>
          <wp:extent cx="3011424" cy="2499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011424" cy="2499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
              <a:graphic>
                <a:graphicData uri="http://schemas.microsoft.com/office/word/2010/wordprocessingShape">
                  <wps:wsp>
                    <wps:cNvSpPr/>
                    <wps:cNvPr id="2" name="Shape 2"/>
                    <wps:spPr>
                      <a:xfrm>
                        <a:off x="4603685" y="3672685"/>
                        <a:ext cx="2119630" cy="214630"/>
                      </a:xfrm>
                      <a:custGeom>
                        <a:rect b="b" l="l" r="r" t="t"/>
                        <a:pathLst>
                          <a:path extrusionOk="0" h="214630" w="2119630">
                            <a:moveTo>
                              <a:pt x="0" y="0"/>
                            </a:moveTo>
                            <a:lnTo>
                              <a:pt x="0" y="214630"/>
                            </a:lnTo>
                            <a:lnTo>
                              <a:pt x="2119630" y="214630"/>
                            </a:lnTo>
                            <a:lnTo>
                              <a:pt x="2119630" y="0"/>
                            </a:lnTo>
                            <a:close/>
                          </a:path>
                        </a:pathLst>
                      </a:custGeom>
                      <a:solidFill>
                        <a:srgbClr val="FFFFFF"/>
                      </a:solidFill>
                      <a:ln>
                        <a:noFill/>
                      </a:ln>
                    </wps:spPr>
                    <wps:txbx>
                      <w:txbxContent>
                        <w:p w:rsidR="00000000" w:rsidDel="00000000" w:rsidP="00000000" w:rsidRDefault="00000000" w:rsidRPr="00000000">
                          <w:pPr>
                            <w:spacing w:after="0" w:before="0" w:line="322.0000076293945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M</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ĀNOA </w:t>
                          </w: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ACULTY </w:t>
                          </w:r>
                          <w:r w:rsidDel="00000000" w:rsidR="00000000" w:rsidRPr="00000000">
                            <w:rPr>
                              <w:rFonts w:ascii="Times New Roman" w:cs="Times New Roman" w:eastAsia="Times New Roman" w:hAnsi="Times New Roman"/>
                              <w:b w:val="1"/>
                              <w:i w:val="0"/>
                              <w:smallCaps w:val="0"/>
                              <w:strike w:val="0"/>
                              <w:color w:val="000000"/>
                              <w:sz w:val="29"/>
                              <w:vertAlign w:val="baseline"/>
                            </w:rPr>
                            <w:t xml:space="preserv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ENATE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622300</wp:posOffset>
              </wp:positionV>
              <wp:extent cx="2120900" cy="215900"/>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120900" cy="215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ind w:left="20" w:firstLine="0"/>
    </w:pPr>
    <w:rPr>
      <w:rFonts w:ascii="Times New Roman" w:cs="Times New Roman" w:eastAsia="Times New Roman" w:hAnsi="Times New Roman"/>
      <w:b w:val="1"/>
      <w:sz w:val="24"/>
      <w:szCs w:val="24"/>
    </w:rPr>
  </w:style>
  <w:style w:type="paragraph" w:styleId="Heading2">
    <w:name w:val="heading 2"/>
    <w:basedOn w:val="Normal"/>
    <w:next w:val="Normal"/>
    <w:pPr>
      <w:pageBreakBefore w:val="0"/>
      <w:spacing w:before="13" w:lineRule="auto"/>
      <w:ind w:left="230" w:firstLine="0"/>
    </w:pPr>
    <w:rPr>
      <w:rFonts w:ascii="Times New Roman" w:cs="Times New Roman" w:eastAsia="Times New Roman" w:hAnsi="Times New Roman"/>
      <w:sz w:val="21"/>
      <w:szCs w:val="2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