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before="4"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2">
      <w:pPr>
        <w:pageBreakBefore w:val="0"/>
        <w:ind w:left="235" w:right="0" w:firstLine="0"/>
        <w:rPr>
          <w:rFonts w:ascii="Times New Roman" w:cs="Times New Roman" w:eastAsia="Times New Roman" w:hAnsi="Times New Roman"/>
          <w:sz w:val="3"/>
          <w:szCs w:val="3"/>
        </w:rPr>
      </w:pPr>
      <w:r w:rsidDel="00000000" w:rsidR="00000000" w:rsidRPr="00000000">
        <w:rPr>
          <w:rFonts w:ascii="Times New Roman" w:cs="Times New Roman" w:eastAsia="Times New Roman" w:hAnsi="Times New Roman"/>
          <w:sz w:val="3"/>
          <w:szCs w:val="3"/>
        </w:rPr>
        <w:drawing>
          <wp:inline distB="0" distT="0" distL="0" distR="0">
            <wp:extent cx="6851932" cy="2133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1932" cy="2133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spacing w:before="18" w:line="240" w:lineRule="auto"/>
        <w:ind w:left="2487" w:right="0" w:firstLine="0"/>
        <w:jc w:val="left"/>
        <w:rPr>
          <w:b w:val="0"/>
        </w:rPr>
      </w:pPr>
      <w:r w:rsidDel="00000000" w:rsidR="00000000" w:rsidRPr="00000000">
        <w:rPr>
          <w:rtl w:val="0"/>
        </w:rPr>
        <w:t xml:space="preserve">COMMITTEE ON ACADEMIC POLICY AND PLANNING</w:t>
      </w:r>
      <w:r w:rsidDel="00000000" w:rsidR="00000000" w:rsidRPr="00000000">
        <w:rPr>
          <w:rtl w:val="0"/>
        </w:rPr>
      </w:r>
    </w:p>
    <w:p w:rsidR="00000000" w:rsidDel="00000000" w:rsidP="00000000" w:rsidRDefault="00000000" w:rsidRPr="00000000" w14:paraId="00000004">
      <w:pPr>
        <w:pageBreakBefore w:val="0"/>
        <w:spacing w:before="11" w:lineRule="auto"/>
        <w:ind w:left="230" w:right="0" w:firstLine="4484"/>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21"/>
          <w:szCs w:val="21"/>
          <w:rtl w:val="0"/>
        </w:rPr>
        <w:t xml:space="preserve">M</w:t>
      </w:r>
      <w:r w:rsidDel="00000000" w:rsidR="00000000" w:rsidRPr="00000000">
        <w:rPr>
          <w:rFonts w:ascii="Times New Roman" w:cs="Times New Roman" w:eastAsia="Times New Roman" w:hAnsi="Times New Roman"/>
          <w:b w:val="1"/>
          <w:sz w:val="17"/>
          <w:szCs w:val="17"/>
          <w:rtl w:val="0"/>
        </w:rPr>
        <w:t xml:space="preserve">EETING </w:t>
      </w:r>
      <w:r w:rsidDel="00000000" w:rsidR="00000000" w:rsidRPr="00000000">
        <w:rPr>
          <w:rFonts w:ascii="Times New Roman" w:cs="Times New Roman" w:eastAsia="Times New Roman" w:hAnsi="Times New Roman"/>
          <w:b w:val="1"/>
          <w:sz w:val="21"/>
          <w:szCs w:val="21"/>
          <w:rtl w:val="0"/>
        </w:rPr>
        <w:t xml:space="preserve">M</w:t>
      </w:r>
      <w:r w:rsidDel="00000000" w:rsidR="00000000" w:rsidRPr="00000000">
        <w:rPr>
          <w:rFonts w:ascii="Times New Roman" w:cs="Times New Roman" w:eastAsia="Times New Roman" w:hAnsi="Times New Roman"/>
          <w:b w:val="1"/>
          <w:sz w:val="17"/>
          <w:szCs w:val="17"/>
          <w:rtl w:val="0"/>
        </w:rPr>
        <w:t xml:space="preserve">INUTES</w:t>
      </w:r>
      <w:r w:rsidDel="00000000" w:rsidR="00000000" w:rsidRPr="00000000">
        <w:rPr>
          <w:rtl w:val="0"/>
        </w:rPr>
      </w:r>
    </w:p>
    <w:p w:rsidR="00000000" w:rsidDel="00000000" w:rsidP="00000000" w:rsidRDefault="00000000" w:rsidRPr="00000000" w14:paraId="00000005">
      <w:pPr>
        <w:pageBreakBefore w:val="0"/>
        <w:spacing w:before="1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6">
      <w:pPr>
        <w:pageBreakBefore w:val="0"/>
        <w:tabs>
          <w:tab w:val="left" w:leader="none" w:pos="2390"/>
        </w:tabs>
        <w:spacing w:before="0" w:lineRule="auto"/>
        <w:ind w:left="23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M</w:t>
      </w:r>
      <w:r w:rsidDel="00000000" w:rsidR="00000000" w:rsidRPr="00000000">
        <w:rPr>
          <w:rFonts w:ascii="Times New Roman" w:cs="Times New Roman" w:eastAsia="Times New Roman" w:hAnsi="Times New Roman"/>
          <w:b w:val="1"/>
          <w:sz w:val="17"/>
          <w:szCs w:val="17"/>
          <w:rtl w:val="0"/>
        </w:rPr>
        <w:t xml:space="preserve">EETING </w:t>
      </w:r>
      <w:r w:rsidDel="00000000" w:rsidR="00000000" w:rsidRPr="00000000">
        <w:rPr>
          <w:rFonts w:ascii="Times New Roman" w:cs="Times New Roman" w:eastAsia="Times New Roman" w:hAnsi="Times New Roman"/>
          <w:b w:val="1"/>
          <w:sz w:val="21"/>
          <w:szCs w:val="21"/>
          <w:rtl w:val="0"/>
        </w:rPr>
        <w:t xml:space="preserve">D</w:t>
      </w:r>
      <w:r w:rsidDel="00000000" w:rsidR="00000000" w:rsidRPr="00000000">
        <w:rPr>
          <w:rFonts w:ascii="Times New Roman" w:cs="Times New Roman" w:eastAsia="Times New Roman" w:hAnsi="Times New Roman"/>
          <w:b w:val="1"/>
          <w:sz w:val="17"/>
          <w:szCs w:val="17"/>
          <w:rtl w:val="0"/>
        </w:rPr>
        <w:t xml:space="preserve">ATE</w:t>
      </w:r>
      <w:r w:rsidDel="00000000" w:rsidR="00000000" w:rsidRPr="00000000">
        <w:rPr>
          <w:rFonts w:ascii="Times New Roman" w:cs="Times New Roman" w:eastAsia="Times New Roman" w:hAnsi="Times New Roman"/>
          <w:b w:val="1"/>
          <w:sz w:val="21"/>
          <w:szCs w:val="21"/>
          <w:rtl w:val="0"/>
        </w:rPr>
        <w:t xml:space="preserve">:</w:t>
        <w:tab/>
      </w:r>
      <w:r w:rsidDel="00000000" w:rsidR="00000000" w:rsidRPr="00000000">
        <w:rPr>
          <w:rFonts w:ascii="Times New Roman" w:cs="Times New Roman" w:eastAsia="Times New Roman" w:hAnsi="Times New Roman"/>
          <w:sz w:val="21"/>
          <w:szCs w:val="21"/>
          <w:rtl w:val="0"/>
        </w:rPr>
        <w:t xml:space="preserve">January 14, 2015</w:t>
      </w:r>
    </w:p>
    <w:p w:rsidR="00000000" w:rsidDel="00000000" w:rsidP="00000000" w:rsidRDefault="00000000" w:rsidRPr="00000000" w14:paraId="00000007">
      <w:pPr>
        <w:pageBreakBefore w:val="0"/>
        <w:tabs>
          <w:tab w:val="left" w:leader="none" w:pos="2390"/>
        </w:tabs>
        <w:spacing w:before="13" w:lineRule="auto"/>
        <w:ind w:left="23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L</w:t>
      </w:r>
      <w:r w:rsidDel="00000000" w:rsidR="00000000" w:rsidRPr="00000000">
        <w:rPr>
          <w:rFonts w:ascii="Times New Roman" w:cs="Times New Roman" w:eastAsia="Times New Roman" w:hAnsi="Times New Roman"/>
          <w:b w:val="1"/>
          <w:sz w:val="17"/>
          <w:szCs w:val="17"/>
          <w:rtl w:val="0"/>
        </w:rPr>
        <w:t xml:space="preserve">OCATION</w:t>
      </w:r>
      <w:r w:rsidDel="00000000" w:rsidR="00000000" w:rsidRPr="00000000">
        <w:rPr>
          <w:rFonts w:ascii="Times New Roman" w:cs="Times New Roman" w:eastAsia="Times New Roman" w:hAnsi="Times New Roman"/>
          <w:b w:val="1"/>
          <w:sz w:val="21"/>
          <w:szCs w:val="21"/>
          <w:rtl w:val="0"/>
        </w:rPr>
        <w:t xml:space="preserve">:</w:t>
        <w:tab/>
      </w:r>
      <w:r w:rsidDel="00000000" w:rsidR="00000000" w:rsidRPr="00000000">
        <w:rPr>
          <w:rFonts w:ascii="Times New Roman" w:cs="Times New Roman" w:eastAsia="Times New Roman" w:hAnsi="Times New Roman"/>
          <w:sz w:val="21"/>
          <w:szCs w:val="21"/>
          <w:rtl w:val="0"/>
        </w:rPr>
        <w:t xml:space="preserve">Hawaii Hall 208</w:t>
      </w:r>
    </w:p>
    <w:p w:rsidR="00000000" w:rsidDel="00000000" w:rsidP="00000000" w:rsidRDefault="00000000" w:rsidRPr="00000000" w14:paraId="00000008">
      <w:pPr>
        <w:pageBreakBefore w:val="0"/>
        <w:tabs>
          <w:tab w:val="left" w:leader="none" w:pos="2390"/>
        </w:tabs>
        <w:spacing w:before="8" w:lineRule="auto"/>
        <w:ind w:left="23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A</w:t>
      </w:r>
      <w:r w:rsidDel="00000000" w:rsidR="00000000" w:rsidRPr="00000000">
        <w:rPr>
          <w:rFonts w:ascii="Times New Roman" w:cs="Times New Roman" w:eastAsia="Times New Roman" w:hAnsi="Times New Roman"/>
          <w:b w:val="1"/>
          <w:sz w:val="17"/>
          <w:szCs w:val="17"/>
          <w:rtl w:val="0"/>
        </w:rPr>
        <w:t xml:space="preserve">TTENDANCE</w:t>
      </w:r>
      <w:r w:rsidDel="00000000" w:rsidR="00000000" w:rsidRPr="00000000">
        <w:rPr>
          <w:rFonts w:ascii="Times New Roman" w:cs="Times New Roman" w:eastAsia="Times New Roman" w:hAnsi="Times New Roman"/>
          <w:b w:val="1"/>
          <w:sz w:val="21"/>
          <w:szCs w:val="21"/>
          <w:rtl w:val="0"/>
        </w:rPr>
        <w:t xml:space="preserve">:</w:t>
        <w:tab/>
      </w:r>
      <w:r w:rsidDel="00000000" w:rsidR="00000000" w:rsidRPr="00000000">
        <w:rPr>
          <w:rFonts w:ascii="Times New Roman" w:cs="Times New Roman" w:eastAsia="Times New Roman" w:hAnsi="Times New Roman"/>
          <w:sz w:val="21"/>
          <w:szCs w:val="21"/>
          <w:rtl w:val="0"/>
        </w:rPr>
        <w:t xml:space="preserve">[P = Present; A = Absent; E = Excused]</w:t>
      </w:r>
    </w:p>
    <w:p w:rsidR="00000000" w:rsidDel="00000000" w:rsidP="00000000" w:rsidRDefault="00000000" w:rsidRPr="00000000" w14:paraId="00000009">
      <w:pPr>
        <w:pageBreakBefore w:val="0"/>
        <w:spacing w:before="8" w:line="240" w:lineRule="auto"/>
        <w:rPr>
          <w:rFonts w:ascii="Times New Roman" w:cs="Times New Roman" w:eastAsia="Times New Roman" w:hAnsi="Times New Roman"/>
          <w:sz w:val="22"/>
          <w:szCs w:val="22"/>
        </w:rPr>
      </w:pPr>
      <w:r w:rsidDel="00000000" w:rsidR="00000000" w:rsidRPr="00000000">
        <w:rPr>
          <w:rtl w:val="0"/>
        </w:rPr>
      </w:r>
    </w:p>
    <w:tbl>
      <w:tblPr>
        <w:tblStyle w:val="Table1"/>
        <w:tblW w:w="10747.0" w:type="dxa"/>
        <w:jc w:val="left"/>
        <w:tblInd w:w="99.0" w:type="dxa"/>
        <w:tblLayout w:type="fixed"/>
        <w:tblLook w:val="0000"/>
      </w:tblPr>
      <w:tblGrid>
        <w:gridCol w:w="2376"/>
        <w:gridCol w:w="269"/>
        <w:gridCol w:w="2702"/>
        <w:gridCol w:w="269"/>
        <w:gridCol w:w="2160"/>
        <w:gridCol w:w="269"/>
        <w:gridCol w:w="1891"/>
        <w:gridCol w:w="811"/>
        <w:tblGridChange w:id="0">
          <w:tblGrid>
            <w:gridCol w:w="2376"/>
            <w:gridCol w:w="269"/>
            <w:gridCol w:w="2702"/>
            <w:gridCol w:w="269"/>
            <w:gridCol w:w="2160"/>
            <w:gridCol w:w="269"/>
            <w:gridCol w:w="1891"/>
            <w:gridCol w:w="811"/>
          </w:tblGrid>
        </w:tblGridChange>
      </w:tblGrid>
      <w:tr>
        <w:trPr>
          <w:cantSplit w:val="0"/>
          <w:trHeight w:val="240" w:hRule="atLeast"/>
          <w:tblHeader w:val="0"/>
        </w:trPr>
        <w:tc>
          <w:tcPr>
            <w:gridSpan w:val="2"/>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MEMBERS</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MEMBERS</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MEMBERS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GUESTS</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TIME</w:t>
            </w:r>
            <w:r w:rsidDel="00000000" w:rsidR="00000000" w:rsidRPr="00000000">
              <w:rPr>
                <w:rtl w:val="0"/>
              </w:rPr>
            </w:r>
          </w:p>
        </w:tc>
      </w:tr>
      <w:tr>
        <w:trPr>
          <w:cantSplit w:val="0"/>
          <w:trHeight w:val="2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Bhatawadekar,  Sai</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Canyon, Deon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Kallianpur,  Kalpana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8">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19">
            <w:pPr>
              <w:pageBreakBefore w:val="0"/>
              <w:rPr/>
            </w:pPr>
            <w:r w:rsidDel="00000000" w:rsidR="00000000" w:rsidRPr="00000000">
              <w:rPr>
                <w:rtl w:val="0"/>
              </w:rPr>
            </w:r>
          </w:p>
        </w:tc>
      </w:tr>
      <w:tr>
        <w:trPr>
          <w:cantSplit w:val="0"/>
          <w:trHeight w:val="2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Rai, Sarita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Simanu-Klutz,  Manumaua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Sorensen, Trevor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0">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21">
            <w:pPr>
              <w:pageBreakBefore w:val="0"/>
              <w:rPr/>
            </w:pPr>
            <w:r w:rsidDel="00000000" w:rsidR="00000000" w:rsidRPr="00000000">
              <w:rPr>
                <w:rtl w:val="0"/>
              </w:rPr>
            </w:r>
          </w:p>
        </w:tc>
      </w:tr>
      <w:tr>
        <w:trPr>
          <w:cantSplit w:val="0"/>
          <w:trHeight w:val="2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Stephenson,  Carolyn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Valenzuela, Hector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Woodruff,  Rosemarie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8">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29">
            <w:pPr>
              <w:pageBreakBefore w:val="0"/>
              <w:rPr/>
            </w:pPr>
            <w:r w:rsidDel="00000000" w:rsidR="00000000" w:rsidRPr="00000000">
              <w:rPr>
                <w:rtl w:val="0"/>
              </w:rPr>
            </w:r>
          </w:p>
        </w:tc>
      </w:tr>
      <w:tr>
        <w:trPr>
          <w:cantSplit w:val="0"/>
          <w:trHeight w:val="2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Cooney, Robert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C">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D">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E">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F">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0">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31">
            <w:pPr>
              <w:pageBreakBefore w:val="0"/>
              <w:rPr/>
            </w:pPr>
            <w:r w:rsidDel="00000000" w:rsidR="00000000" w:rsidRPr="00000000">
              <w:rPr>
                <w:rtl w:val="0"/>
              </w:rPr>
            </w:r>
          </w:p>
        </w:tc>
      </w:tr>
      <w:tr>
        <w:trPr>
          <w:cantSplit w:val="0"/>
          <w:trHeight w:val="2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32">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3">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4">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5">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6">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7">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8">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39">
            <w:pPr>
              <w:pageBreakBefore w:val="0"/>
              <w:rPr/>
            </w:pPr>
            <w:r w:rsidDel="00000000" w:rsidR="00000000" w:rsidRPr="00000000">
              <w:rPr>
                <w:rtl w:val="0"/>
              </w:rPr>
            </w:r>
          </w:p>
        </w:tc>
      </w:tr>
    </w:tbl>
    <w:p w:rsidR="00000000" w:rsidDel="00000000" w:rsidP="00000000" w:rsidRDefault="00000000" w:rsidRPr="00000000" w14:paraId="0000003A">
      <w:pPr>
        <w:pageBreakBefore w:val="0"/>
        <w:spacing w:before="11" w:line="240" w:lineRule="auto"/>
        <w:rPr>
          <w:rFonts w:ascii="Times New Roman" w:cs="Times New Roman" w:eastAsia="Times New Roman" w:hAnsi="Times New Roman"/>
          <w:sz w:val="21"/>
          <w:szCs w:val="21"/>
        </w:rPr>
      </w:pPr>
      <w:r w:rsidDel="00000000" w:rsidR="00000000" w:rsidRPr="00000000">
        <w:rPr>
          <w:rtl w:val="0"/>
        </w:rPr>
      </w:r>
    </w:p>
    <w:tbl>
      <w:tblPr>
        <w:tblStyle w:val="Table2"/>
        <w:tblW w:w="10747.0" w:type="dxa"/>
        <w:jc w:val="left"/>
        <w:tblInd w:w="99.0" w:type="dxa"/>
        <w:tblLayout w:type="fixed"/>
        <w:tblLook w:val="0000"/>
      </w:tblPr>
      <w:tblGrid>
        <w:gridCol w:w="1925"/>
        <w:gridCol w:w="6302"/>
        <w:gridCol w:w="2520"/>
        <w:tblGridChange w:id="0">
          <w:tblGrid>
            <w:gridCol w:w="1925"/>
            <w:gridCol w:w="6302"/>
            <w:gridCol w:w="2520"/>
          </w:tblGrid>
        </w:tblGridChange>
      </w:tblGrid>
      <w:tr>
        <w:trPr>
          <w:cantSplit w:val="0"/>
          <w:trHeight w:val="4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SUBJECT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DISCUSSION / INFORMATION</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3" w:lineRule="auto"/>
              <w:ind w:left="99" w:right="15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ACTION / STRATEGY / RESPONSIBLE  PERSON</w:t>
            </w:r>
            <w:r w:rsidDel="00000000" w:rsidR="00000000" w:rsidRPr="00000000">
              <w:rPr>
                <w:rtl w:val="0"/>
              </w:rPr>
            </w:r>
          </w:p>
        </w:tc>
      </w:tr>
      <w:tr>
        <w:trPr>
          <w:cantSplit w:val="0"/>
          <w:trHeight w:val="8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CALL TO ORDER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0" w:lineRule="auto"/>
              <w:ind w:left="171" w:right="3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Meeting was called to order by Vice Chair Sai Bhatawadekar at 11:12 a.m.  Chair Carolyn Stephenson resumed her duties as chair at 11:25 a.m.</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40">
            <w:pPr>
              <w:pageBreakBefore w:val="0"/>
              <w:rPr/>
            </w:pPr>
            <w:r w:rsidDel="00000000" w:rsidR="00000000" w:rsidRPr="00000000">
              <w:rPr>
                <w:rtl w:val="0"/>
              </w:rPr>
            </w:r>
          </w:p>
        </w:tc>
      </w:tr>
      <w:tr>
        <w:trPr>
          <w:cantSplit w:val="0"/>
          <w:trHeight w:val="5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MINUTES 12-2-14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Postponed till the next meeting.</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2.00000000000003" w:lineRule="auto"/>
              <w:ind w:left="99" w:right="13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Trevor Sorensen, Carolyn Stephenson</w:t>
            </w:r>
          </w:p>
        </w:tc>
      </w:tr>
      <w:tr>
        <w:trPr>
          <w:cantSplit w:val="0"/>
          <w:trHeight w:val="282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Issue 9.13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4" w:lineRule="auto"/>
              <w:ind w:left="99" w:right="234" w:firstLine="11.999999999999993"/>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Governance of Interdisciplinary programs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Sai reported that IS had 132 students and 151 majors.  Students designed their own majors with the help of a faculty member from the appropriate department and the IS advisor.  Discussion ensued as to how to improve the overall IS administration and how to maximize interdisciplinary work.  Before further recommendation CAPP requested that Sai get information on 1) the list of the 151 majors and the number of students in each major, and 2) ask Jaishree Odin, Director of IS program to attend the next CAPP meeting so she can explain to CAPP the steps/process of declaring an IS major.  Unresolved and waiting for information</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2.00000000000003" w:lineRule="auto"/>
              <w:ind w:left="99" w:right="209"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Sai Bhatawadekar to talk with Jaishree Odin.</w:t>
            </w:r>
          </w:p>
        </w:tc>
      </w:tr>
      <w:tr>
        <w:trPr>
          <w:cantSplit w:val="0"/>
          <w:trHeight w:val="102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Issue 12.13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2.00000000000003" w:lineRule="auto"/>
              <w:ind w:left="99" w:right="306"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Admissions Policy</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2.0 (HI) vs 2.5 (non-HI) GPA entry.  The data have not been received.</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1" w:lineRule="auto"/>
              <w:ind w:left="99" w:right="21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Carolyn Stephenson to request VC for Students and Admissions for data. Rosie W</w:t>
            </w:r>
          </w:p>
        </w:tc>
      </w:tr>
      <w:tr>
        <w:trPr>
          <w:cantSplit w:val="0"/>
          <w:trHeight w:val="50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Issue 13.13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2.00000000000003" w:lineRule="auto"/>
              <w:ind w:left="111" w:right="55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Streamlining of administrative procedures with regard to course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approvals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2.00000000000003" w:lineRule="auto"/>
              <w:ind w:left="99" w:right="2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Carolyn Stephenson will monitor</w:t>
            </w:r>
          </w:p>
        </w:tc>
      </w:tr>
      <w:tr>
        <w:trPr>
          <w:cantSplit w:val="0"/>
          <w:trHeight w:val="50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Issue 13.14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8.00000000000006" w:lineRule="auto"/>
              <w:ind w:left="111" w:right="28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Kuali curriculum management system</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CAPP’s concern is that the system not be used for assessment. Seems clear it will not be.</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8.00000000000006" w:lineRule="auto"/>
              <w:ind w:left="99" w:right="42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Hector to check on the status</w:t>
            </w:r>
          </w:p>
        </w:tc>
      </w:tr>
      <w:tr>
        <w:trPr>
          <w:cantSplit w:val="0"/>
          <w:trHeight w:val="102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Issue 21.13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0" w:lineRule="auto"/>
              <w:ind w:left="99" w:right="67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Advising students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Design a survey for CAPP to consider to evaluate advising.  Gary Rodwell to be invited to CAPP’s next meeting.</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2.00000000000003" w:lineRule="auto"/>
              <w:ind w:left="99" w:right="3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Fatah and Rosie. Design survey &amp; invite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18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Gary Rodwell to CAPP’s next meeting</w:t>
            </w:r>
          </w:p>
        </w:tc>
      </w:tr>
    </w:tbl>
    <w:p w:rsidR="00000000" w:rsidDel="00000000" w:rsidP="00000000" w:rsidRDefault="00000000" w:rsidRPr="00000000" w14:paraId="00000054">
      <w:pPr>
        <w:pageBreakBefore w:val="0"/>
        <w:spacing w:after="0" w:line="252.00000000000003" w:lineRule="auto"/>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sectPr>
          <w:headerReference r:id="rId7" w:type="default"/>
          <w:footerReference r:id="rId8" w:type="default"/>
          <w:pgSz w:h="15840" w:w="12240" w:orient="portrait"/>
          <w:pgMar w:bottom="1620" w:top="1920" w:left="500" w:right="60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56">
      <w:pPr>
        <w:pageBreakBefore w:val="0"/>
        <w:spacing w:before="4"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7">
      <w:pPr>
        <w:pageBreakBefore w:val="0"/>
        <w:ind w:left="235" w:right="0" w:firstLine="0"/>
        <w:rPr>
          <w:rFonts w:ascii="Times New Roman" w:cs="Times New Roman" w:eastAsia="Times New Roman" w:hAnsi="Times New Roman"/>
          <w:sz w:val="3"/>
          <w:szCs w:val="3"/>
        </w:rPr>
      </w:pPr>
      <w:r w:rsidDel="00000000" w:rsidR="00000000" w:rsidRPr="00000000">
        <w:rPr>
          <w:rFonts w:ascii="Times New Roman" w:cs="Times New Roman" w:eastAsia="Times New Roman" w:hAnsi="Times New Roman"/>
          <w:sz w:val="3"/>
          <w:szCs w:val="3"/>
        </w:rPr>
        <w:drawing>
          <wp:inline distB="0" distT="0" distL="0" distR="0">
            <wp:extent cx="6851932" cy="2133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1932" cy="21335"/>
                    </a:xfrm>
                    <a:prstGeom prst="rect"/>
                    <a:ln/>
                  </pic:spPr>
                </pic:pic>
              </a:graphicData>
            </a:graphic>
          </wp:inline>
        </w:drawing>
      </w:r>
      <w:r w:rsidDel="00000000" w:rsidR="00000000" w:rsidRPr="00000000">
        <w:rPr>
          <w:rtl w:val="0"/>
        </w:rPr>
      </w:r>
    </w:p>
    <w:tbl>
      <w:tblPr>
        <w:tblStyle w:val="Table3"/>
        <w:tblW w:w="10747.0" w:type="dxa"/>
        <w:jc w:val="left"/>
        <w:tblInd w:w="99.0" w:type="dxa"/>
        <w:tblLayout w:type="fixed"/>
        <w:tblLook w:val="0000"/>
      </w:tblPr>
      <w:tblGrid>
        <w:gridCol w:w="1925"/>
        <w:gridCol w:w="6302"/>
        <w:gridCol w:w="2520"/>
        <w:tblGridChange w:id="0">
          <w:tblGrid>
            <w:gridCol w:w="1925"/>
            <w:gridCol w:w="6302"/>
            <w:gridCol w:w="2520"/>
          </w:tblGrid>
        </w:tblGridChange>
      </w:tblGrid>
      <w:tr>
        <w:trPr>
          <w:cantSplit w:val="0"/>
          <w:trHeight w:val="4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SUBJECT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DISCUSSION / INFORMATION</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3" w:lineRule="auto"/>
              <w:ind w:left="99" w:right="15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ACTION / STRATEGY / RESPONSIBLE  PERSON</w:t>
            </w:r>
            <w:r w:rsidDel="00000000" w:rsidR="00000000" w:rsidRPr="00000000">
              <w:rPr>
                <w:rtl w:val="0"/>
              </w:rPr>
            </w:r>
          </w:p>
        </w:tc>
      </w:tr>
      <w:tr>
        <w:trPr>
          <w:cantSplit w:val="0"/>
          <w:trHeight w:val="354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Issue 24.14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1" w:lineRule="auto"/>
              <w:ind w:left="99" w:right="2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SAT/ACT admissions requirements for international students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Mānoa Undergraduate Admissions webpage on </w:t>
            </w: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Standardized Test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Scores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section indicates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“…If the test is not available to you in your area, the SAT/ACT may be substituted.  Please contact the Office of Admissions for more information.”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SAT/ACT is a requirement for all students who apply to UHM.  CAPP deems that Admissions changed the criteria for selective international students without discussion with the Committee.  Additionally, it is unclear and opaque as to what exactly would be substituted in lieu of SAT/ACT requirement and for which students.  Toward that end then, a resolution will be drafted for CAPP’s review indicating that the Administration must bring any changes in admissions criteria and that each criterion must be transparent and should not be applied in an ad hoc manner.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2.00000000000003" w:lineRule="auto"/>
              <w:ind w:left="99" w:right="47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Trevor and Sarita will draft a resolution</w:t>
            </w:r>
          </w:p>
        </w:tc>
      </w:tr>
      <w:tr>
        <w:trPr>
          <w:cantSplit w:val="0"/>
          <w:trHeight w:val="12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2.00000000000003" w:lineRule="auto"/>
              <w:ind w:left="124" w:right="504"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Prior Learning Experience: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1" w:lineRule="auto"/>
              <w:ind w:left="99" w:right="434"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Prior Learning Experience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There is a meeting next week at the system level and Ron Bontekoe will represent SEC.  He will then report to CAPP.  The question for discussion then will be if the Community Colleges accept prior learning experience, then will Manoa also accept it as part of an Associate degree?</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2.00000000000003" w:lineRule="auto"/>
              <w:ind w:left="99" w:right="3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Sai.  Unresolved and on hold</w:t>
            </w:r>
          </w:p>
        </w:tc>
      </w:tr>
      <w:tr>
        <w:trPr>
          <w:cantSplit w:val="0"/>
          <w:trHeight w:val="102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Other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1" w:lineRule="auto"/>
              <w:ind w:left="99" w:right="33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Bob Cooney asked whether CAPP would be interested in investigating the issue brought up by Ashley Maynard of SEC that “no exams are to be given during last two weeks of semester.” Upon discussion CAPP decided to not take any action at this time.</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 action needed</w:t>
            </w:r>
          </w:p>
        </w:tc>
      </w:tr>
      <w:tr>
        <w:trPr>
          <w:cantSplit w:val="0"/>
          <w:trHeight w:val="5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ADJOURNMENT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Meeting adjourned at 12:35 pm.</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66">
            <w:pPr>
              <w:pageBreakBefore w:val="0"/>
              <w:rPr/>
            </w:pPr>
            <w:r w:rsidDel="00000000" w:rsidR="00000000" w:rsidRPr="00000000">
              <w:rPr>
                <w:rtl w:val="0"/>
              </w:rPr>
            </w:r>
          </w:p>
        </w:tc>
      </w:tr>
      <w:tr>
        <w:trPr>
          <w:cantSplit w:val="0"/>
          <w:trHeight w:val="5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Next Meeting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January 28 at 11:00 am in HAWAII Hall 208</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69">
            <w:pPr>
              <w:pageBreakBefore w:val="0"/>
              <w:rPr/>
            </w:pPr>
            <w:r w:rsidDel="00000000" w:rsidR="00000000" w:rsidRPr="00000000">
              <w:rPr>
                <w:rtl w:val="0"/>
              </w:rPr>
            </w:r>
          </w:p>
        </w:tc>
      </w:tr>
    </w:tbl>
    <w:p w:rsidR="00000000" w:rsidDel="00000000" w:rsidP="00000000" w:rsidRDefault="00000000" w:rsidRPr="00000000" w14:paraId="0000006A">
      <w:pPr>
        <w:pageBreakBefore w:val="0"/>
        <w:spacing w:before="7" w:line="24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3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Respectfully submitted by Sarita Rai.</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3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Approved on </w:t>
      </w:r>
      <w:r w:rsidDel="00000000" w:rsidR="00000000" w:rsidRPr="00000000">
        <w:rPr>
          <w:rFonts w:ascii="Times New Roman" w:cs="Times New Roman" w:eastAsia="Times New Roman" w:hAnsi="Times New Roman"/>
          <w:b w:val="0"/>
          <w:i w:val="0"/>
          <w:smallCaps w:val="0"/>
          <w:strike w:val="0"/>
          <w:color w:val="000000"/>
          <w:sz w:val="21"/>
          <w:szCs w:val="21"/>
          <w:highlight w:val="yellow"/>
          <w:u w:val="none"/>
          <w:vertAlign w:val="baseline"/>
          <w:rtl w:val="0"/>
        </w:rPr>
        <w:t xml:space="preserve">1/28/15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000000"/>
          <w:sz w:val="21"/>
          <w:szCs w:val="21"/>
          <w:highlight w:val="yellow"/>
          <w:u w:val="none"/>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votes in favor of approval and </w:t>
      </w:r>
      <w:r w:rsidDel="00000000" w:rsidR="00000000" w:rsidRPr="00000000">
        <w:rPr>
          <w:rFonts w:ascii="Times New Roman" w:cs="Times New Roman" w:eastAsia="Times New Roman" w:hAnsi="Times New Roman"/>
          <w:b w:val="0"/>
          <w:i w:val="0"/>
          <w:smallCaps w:val="0"/>
          <w:strike w:val="0"/>
          <w:color w:val="000000"/>
          <w:sz w:val="21"/>
          <w:szCs w:val="21"/>
          <w:highlight w:val="yellow"/>
          <w:u w:val="none"/>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against.</w:t>
      </w:r>
    </w:p>
    <w:sectPr>
      <w:type w:val="continuous"/>
      <w:pgSz w:h="15840" w:w="12240" w:orient="portrait"/>
      <w:pgMar w:bottom="1620" w:top="1920" w:left="500" w:right="6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ageBreakBefore w:val="0"/>
      <w:spacing w:after="1430" w:before="0" w:line="14"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pageBreakBefore w:val="0"/>
      <w:spacing w:after="0" w:before="732" w:line="14" w:lineRule="auto"/>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578104</wp:posOffset>
          </wp:positionH>
          <wp:positionV relativeFrom="paragraph">
            <wp:posOffset>464820</wp:posOffset>
          </wp:positionV>
          <wp:extent cx="2218944" cy="765047"/>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18944" cy="765047"/>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622300</wp:posOffset>
              </wp:positionV>
              <wp:extent cx="2120900" cy="215900"/>
              <wp:effectExtent b="0" l="0" r="0" t="0"/>
              <wp:wrapNone/>
              <wp:docPr id="1" name=""/>
              <a:graphic>
                <a:graphicData uri="http://schemas.microsoft.com/office/word/2010/wordprocessingShape">
                  <wps:wsp>
                    <wps:cNvSpPr/>
                    <wps:cNvPr id="2" name="Shape 2"/>
                    <wps:spPr>
                      <a:xfrm>
                        <a:off x="4602733" y="3672685"/>
                        <a:ext cx="2121535" cy="214630"/>
                      </a:xfrm>
                      <a:custGeom>
                        <a:rect b="b" l="l" r="r" t="t"/>
                        <a:pathLst>
                          <a:path extrusionOk="0" h="214630" w="2121535">
                            <a:moveTo>
                              <a:pt x="0" y="0"/>
                            </a:moveTo>
                            <a:lnTo>
                              <a:pt x="0" y="214630"/>
                            </a:lnTo>
                            <a:lnTo>
                              <a:pt x="2121535" y="214630"/>
                            </a:lnTo>
                            <a:lnTo>
                              <a:pt x="2121535" y="0"/>
                            </a:lnTo>
                            <a:close/>
                          </a:path>
                        </a:pathLst>
                      </a:custGeom>
                      <a:solidFill>
                        <a:srgbClr val="FFFFFF"/>
                      </a:solidFill>
                      <a:ln>
                        <a:noFill/>
                      </a:ln>
                    </wps:spPr>
                    <wps:txbx>
                      <w:txbxContent>
                        <w:p w:rsidR="00000000" w:rsidDel="00000000" w:rsidP="00000000" w:rsidRDefault="00000000" w:rsidRPr="00000000">
                          <w:pPr>
                            <w:spacing w:after="0" w:before="0" w:line="322.00000762939453"/>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9"/>
                              <w:vertAlign w:val="baseline"/>
                            </w:rPr>
                            <w:t xml:space="preserve">M</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ĀNOA </w:t>
                          </w:r>
                          <w:r w:rsidDel="00000000" w:rsidR="00000000" w:rsidRPr="00000000">
                            <w:rPr>
                              <w:rFonts w:ascii="Times New Roman" w:cs="Times New Roman" w:eastAsia="Times New Roman" w:hAnsi="Times New Roman"/>
                              <w:b w:val="1"/>
                              <w:i w:val="0"/>
                              <w:smallCaps w:val="0"/>
                              <w:strike w:val="0"/>
                              <w:color w:val="000000"/>
                              <w:sz w:val="29"/>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ACULTY </w:t>
                          </w:r>
                          <w:r w:rsidDel="00000000" w:rsidR="00000000" w:rsidRPr="00000000">
                            <w:rPr>
                              <w:rFonts w:ascii="Times New Roman" w:cs="Times New Roman" w:eastAsia="Times New Roman" w:hAnsi="Times New Roman"/>
                              <w:b w:val="1"/>
                              <w:i w:val="0"/>
                              <w:smallCaps w:val="0"/>
                              <w:strike w:val="0"/>
                              <w:color w:val="000000"/>
                              <w:sz w:val="29"/>
                              <w:vertAlign w:val="baseline"/>
                            </w:rPr>
                            <w:t xml:space="preserve">S</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ENATE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622300</wp:posOffset>
              </wp:positionV>
              <wp:extent cx="2120900" cy="2159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120900" cy="2159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ind w:left="20" w:firstLine="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