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ACADEMIC POLICY AND PLANNING</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ab/>
        <w:t xml:space="preserve">11 February 2015</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178"/>
        <w:gridCol w:w="360"/>
        <w:gridCol w:w="3060"/>
        <w:gridCol w:w="360"/>
        <w:gridCol w:w="2520"/>
        <w:gridCol w:w="270"/>
        <w:gridCol w:w="1170"/>
        <w:gridCol w:w="810"/>
        <w:tblGridChange w:id="0">
          <w:tblGrid>
            <w:gridCol w:w="2178"/>
            <w:gridCol w:w="360"/>
            <w:gridCol w:w="3060"/>
            <w:gridCol w:w="360"/>
            <w:gridCol w:w="2520"/>
            <w:gridCol w:w="270"/>
            <w:gridCol w:w="117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BHATAWADEKAR, Sai</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SIMANU-KLUTZ, Manumaua</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WOODRUFF, Rosemarie</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Rodwell, Gary</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CANYON, Deon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SORENSEN, Trevor</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Acevedo, Delia</w:t>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RAI, Sarita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VALENZUELA, Hector</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rFonts w:ascii="Times" w:cs="Times" w:eastAsia="Times" w:hAnsi="Times"/>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rFonts w:ascii="Times" w:cs="Times" w:eastAsia="Times" w:hAnsi="Times"/>
                <w:sz w:val="22"/>
                <w:szCs w:val="22"/>
              </w:rPr>
            </w:pPr>
            <w:r w:rsidDel="00000000" w:rsidR="00000000" w:rsidRPr="00000000">
              <w:rPr>
                <w:rtl w:val="0"/>
              </w:rPr>
            </w:r>
          </w:p>
        </w:tc>
        <w:tc>
          <w:tcPr/>
          <w:p w:rsidR="00000000" w:rsidDel="00000000" w:rsidP="00000000" w:rsidRDefault="00000000" w:rsidRPr="00000000" w14:paraId="00000032">
            <w:pPr>
              <w:pageBreakBefore w:val="0"/>
              <w:rPr>
                <w:rFonts w:ascii="Times" w:cs="Times" w:eastAsia="Times" w:hAnsi="Times"/>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Meeting called to order by Chair Carolyn Stephenson at 11:02AM. Review of minutes and Chair’s report were placed on hold, to allow the Guest Speakers to give their presentation.</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Invited Speakers (Issue 21.13)</w:t>
            </w:r>
          </w:p>
          <w:p w:rsidR="00000000" w:rsidDel="00000000" w:rsidP="00000000" w:rsidRDefault="00000000" w:rsidRPr="00000000" w14:paraId="00000040">
            <w:pPr>
              <w:pageBreakBefore w:val="0"/>
              <w:rPr>
                <w:b w:val="1"/>
                <w:sz w:val="20"/>
                <w:szCs w:val="20"/>
              </w:rPr>
            </w:pPr>
            <w:r w:rsidDel="00000000" w:rsidR="00000000" w:rsidRPr="00000000">
              <w:rPr>
                <w:rtl w:val="0"/>
              </w:rPr>
            </w:r>
          </w:p>
        </w:tc>
        <w:tc>
          <w:tcPr/>
          <w:p w:rsidR="00000000" w:rsidDel="00000000" w:rsidP="00000000" w:rsidRDefault="00000000" w:rsidRPr="00000000" w14:paraId="00000041">
            <w:pPr>
              <w:pageBreakBefore w:val="0"/>
              <w:spacing w:after="2.4" w:before="2.4" w:lineRule="auto"/>
              <w:rPr>
                <w:color w:val="000000"/>
                <w:sz w:val="22"/>
                <w:szCs w:val="22"/>
              </w:rPr>
            </w:pPr>
            <w:r w:rsidDel="00000000" w:rsidR="00000000" w:rsidRPr="00000000">
              <w:rPr>
                <w:color w:val="000000"/>
                <w:sz w:val="22"/>
                <w:szCs w:val="22"/>
                <w:rtl w:val="0"/>
              </w:rPr>
              <w:t xml:space="preserve">Advising students. Presentations were made by </w:t>
            </w:r>
            <w:r w:rsidDel="00000000" w:rsidR="00000000" w:rsidRPr="00000000">
              <w:rPr>
                <w:sz w:val="22"/>
                <w:szCs w:val="22"/>
                <w:rtl w:val="0"/>
              </w:rPr>
              <w:t xml:space="preserve">Gary Rodwell and by Delia Acevedo from Office of Undergrad Education in OVCAA. Graduation Pathway System program updates were provided based on a website and on a short video, with no-sound track. The committee provided recommendations on the video and graphics. As it stands it is currently difficult to mine data from their database info on graduation rates based on freshman entry or transfer GPA grades at the time of acceptance to UHM.</w:t>
            </w:r>
            <w:r w:rsidDel="00000000" w:rsidR="00000000" w:rsidRPr="00000000">
              <w:rPr>
                <w:rtl w:val="0"/>
              </w:rPr>
            </w:r>
          </w:p>
        </w:tc>
        <w:tc>
          <w:tcPr/>
          <w:p w:rsidR="00000000" w:rsidDel="00000000" w:rsidP="00000000" w:rsidRDefault="00000000" w:rsidRPr="00000000" w14:paraId="00000042">
            <w:pPr>
              <w:pageBreakBefore w:val="0"/>
              <w:spacing w:after="2.4" w:before="2.4" w:lineRule="auto"/>
              <w:rPr>
                <w:sz w:val="22"/>
                <w:szCs w:val="22"/>
              </w:rPr>
            </w:pPr>
            <w:r w:rsidDel="00000000" w:rsidR="00000000" w:rsidRPr="00000000">
              <w:rPr>
                <w:sz w:val="22"/>
                <w:szCs w:val="22"/>
                <w:rtl w:val="0"/>
              </w:rPr>
              <w:t xml:space="preserve">Rodwell will ask permission of VCAA as to whether data from 10 programs to determine graduation success rates based on entry-level GPAs can be sent to us.</w:t>
            </w:r>
          </w:p>
        </w:tc>
      </w:tr>
      <w:tr>
        <w:trPr>
          <w:cantSplit w:val="0"/>
          <w:trHeight w:val="960" w:hRule="atLeast"/>
          <w:tblHeader w:val="0"/>
        </w:trPr>
        <w:tc>
          <w:tcPr/>
          <w:p w:rsidR="00000000" w:rsidDel="00000000" w:rsidP="00000000" w:rsidRDefault="00000000" w:rsidRPr="00000000" w14:paraId="00000043">
            <w:pPr>
              <w:pageBreakBefore w:val="0"/>
              <w:rPr>
                <w:b w:val="1"/>
                <w:sz w:val="22"/>
                <w:szCs w:val="22"/>
              </w:rPr>
            </w:pPr>
            <w:r w:rsidDel="00000000" w:rsidR="00000000" w:rsidRPr="00000000">
              <w:rPr>
                <w:b w:val="1"/>
                <w:sz w:val="20"/>
                <w:szCs w:val="20"/>
                <w:rtl w:val="0"/>
              </w:rPr>
              <w:t xml:space="preserve">MINUTES</w:t>
            </w:r>
            <w:r w:rsidDel="00000000" w:rsidR="00000000" w:rsidRPr="00000000">
              <w:rPr>
                <w:rtl w:val="0"/>
              </w:rPr>
            </w:r>
          </w:p>
        </w:tc>
        <w:tc>
          <w:tcPr/>
          <w:p w:rsidR="00000000" w:rsidDel="00000000" w:rsidP="00000000" w:rsidRDefault="00000000" w:rsidRPr="00000000" w14:paraId="00000044">
            <w:pPr>
              <w:pageBreakBefore w:val="0"/>
              <w:spacing w:after="2.4" w:before="2.4" w:lineRule="auto"/>
              <w:rPr>
                <w:b w:val="1"/>
                <w:color w:val="000000"/>
                <w:sz w:val="22"/>
                <w:szCs w:val="22"/>
              </w:rPr>
            </w:pPr>
            <w:r w:rsidDel="00000000" w:rsidR="00000000" w:rsidRPr="00000000">
              <w:rPr>
                <w:sz w:val="22"/>
                <w:szCs w:val="22"/>
                <w:rtl w:val="0"/>
              </w:rPr>
              <w:t xml:space="preserve">Minutes will be reviewed at the next CAPP meeting, as the drafts need additional editing.</w:t>
            </w:r>
            <w:r w:rsidDel="00000000" w:rsidR="00000000" w:rsidRPr="00000000">
              <w:rPr>
                <w:rtl w:val="0"/>
              </w:rPr>
            </w:r>
          </w:p>
        </w:tc>
        <w:tc>
          <w:tcPr/>
          <w:p w:rsidR="00000000" w:rsidDel="00000000" w:rsidP="00000000" w:rsidRDefault="00000000" w:rsidRPr="00000000" w14:paraId="00000045">
            <w:pPr>
              <w:pageBreakBefore w:val="0"/>
              <w:spacing w:after="2.4" w:before="2.4" w:lineRule="auto"/>
              <w:rPr>
                <w:sz w:val="22"/>
                <w:szCs w:val="22"/>
              </w:rPr>
            </w:pPr>
            <w:r w:rsidDel="00000000" w:rsidR="00000000" w:rsidRPr="00000000">
              <w:rPr>
                <w:sz w:val="22"/>
                <w:szCs w:val="22"/>
                <w:rtl w:val="0"/>
              </w:rPr>
              <w:t xml:space="preserve">Chair will edit minutes from 1/28/15 meeting. </w:t>
            </w:r>
          </w:p>
        </w:tc>
      </w:tr>
      <w:tr>
        <w:trPr>
          <w:cantSplit w:val="0"/>
          <w:trHeight w:val="960" w:hRule="atLeast"/>
          <w:tblHeader w:val="0"/>
        </w:trPr>
        <w:tc>
          <w:tcPr/>
          <w:p w:rsidR="00000000" w:rsidDel="00000000" w:rsidP="00000000" w:rsidRDefault="00000000" w:rsidRPr="00000000" w14:paraId="00000046">
            <w:pPr>
              <w:pageBreakBefore w:val="0"/>
              <w:rPr>
                <w:b w:val="1"/>
                <w:sz w:val="22"/>
                <w:szCs w:val="22"/>
              </w:rPr>
            </w:pPr>
            <w:r w:rsidDel="00000000" w:rsidR="00000000" w:rsidRPr="00000000">
              <w:rPr>
                <w:b w:val="1"/>
                <w:sz w:val="22"/>
                <w:szCs w:val="22"/>
                <w:rtl w:val="0"/>
              </w:rPr>
              <w:t xml:space="preserve">Chair Report</w:t>
            </w:r>
          </w:p>
        </w:tc>
        <w:tc>
          <w:tcPr/>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Kalpana Kallianpur is no longer on this CAPP committee.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Lorna, FS Executive Assistant, is leaving her position from the Faculty Senate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has invited Admissions Director Roxy Chavez to give a presentation to CAPP (Issue 24.14)</w:t>
            </w:r>
            <w:r w:rsidDel="00000000" w:rsidR="00000000" w:rsidRPr="00000000">
              <w:rPr>
                <w:rtl w:val="0"/>
              </w:rPr>
            </w:r>
          </w:p>
        </w:tc>
        <w:tc>
          <w:tcPr/>
          <w:p w:rsidR="00000000" w:rsidDel="00000000" w:rsidP="00000000" w:rsidRDefault="00000000" w:rsidRPr="00000000" w14:paraId="0000004A">
            <w:pPr>
              <w:pageBreakBefore w:val="0"/>
              <w:spacing w:after="2.4" w:before="2.4" w:lineRule="auto"/>
              <w:rPr>
                <w:sz w:val="20"/>
                <w:szCs w:val="20"/>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Issue 21.13</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Advising students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update was provided on the draft questionnaire/survey. It was suggested that a list be compiled of advisors at UHM.</w:t>
            </w:r>
            <w:r w:rsidDel="00000000" w:rsidR="00000000" w:rsidRPr="00000000">
              <w:rPr>
                <w:rtl w:val="0"/>
              </w:rPr>
            </w:r>
          </w:p>
        </w:tc>
        <w:tc>
          <w:tcPr/>
          <w:p w:rsidR="00000000" w:rsidDel="00000000" w:rsidP="00000000" w:rsidRDefault="00000000" w:rsidRPr="00000000" w14:paraId="0000004D">
            <w:pPr>
              <w:pageBreakBefore w:val="0"/>
              <w:spacing w:after="2.4" w:before="2.4" w:lineRule="auto"/>
              <w:rPr>
                <w:sz w:val="22"/>
                <w:szCs w:val="22"/>
              </w:rPr>
            </w:pPr>
            <w:r w:rsidDel="00000000" w:rsidR="00000000" w:rsidRPr="00000000">
              <w:rPr>
                <w:sz w:val="22"/>
                <w:szCs w:val="22"/>
                <w:rtl w:val="0"/>
              </w:rPr>
              <w:t xml:space="preserve">Fata will send a draft of the survey for Rosie to review and they will obtain list of all advisors.</w:t>
            </w:r>
          </w:p>
        </w:tc>
      </w:tr>
      <w:tr>
        <w:trPr>
          <w:cantSplit w:val="0"/>
          <w:trHeight w:val="460" w:hRule="atLeast"/>
          <w:tblHeader w:val="0"/>
        </w:trPr>
        <w:tc>
          <w:tcPr/>
          <w:p w:rsidR="00000000" w:rsidDel="00000000" w:rsidP="00000000" w:rsidRDefault="00000000" w:rsidRPr="00000000" w14:paraId="0000004E">
            <w:pPr>
              <w:pageBreakBefore w:val="0"/>
              <w:rPr>
                <w:b w:val="1"/>
                <w:sz w:val="22"/>
                <w:szCs w:val="22"/>
              </w:rPr>
            </w:pPr>
            <w:r w:rsidDel="00000000" w:rsidR="00000000" w:rsidRPr="00000000">
              <w:rPr>
                <w:b w:val="1"/>
                <w:sz w:val="22"/>
                <w:szCs w:val="22"/>
                <w:rtl w:val="0"/>
              </w:rPr>
              <w:t xml:space="preserve">Issue 4.15</w:t>
            </w:r>
          </w:p>
        </w:tc>
        <w:tc>
          <w:tcPr/>
          <w:p w:rsidR="00000000" w:rsidDel="00000000" w:rsidP="00000000" w:rsidRDefault="00000000" w:rsidRPr="00000000" w14:paraId="0000004F">
            <w:pPr>
              <w:pageBreakBefore w:val="0"/>
              <w:rPr>
                <w:sz w:val="22"/>
                <w:szCs w:val="22"/>
              </w:rPr>
            </w:pPr>
            <w:r w:rsidDel="00000000" w:rsidR="00000000" w:rsidRPr="00000000">
              <w:rPr>
                <w:sz w:val="22"/>
                <w:szCs w:val="22"/>
                <w:u w:val="single"/>
                <w:rtl w:val="0"/>
              </w:rPr>
              <w:t xml:space="preserve">Prior Learning Assessment</w:t>
            </w:r>
            <w:r w:rsidDel="00000000" w:rsidR="00000000" w:rsidRPr="00000000">
              <w:rPr>
                <w:sz w:val="22"/>
                <w:szCs w:val="22"/>
                <w:rtl w:val="0"/>
              </w:rPr>
              <w:t xml:space="preserve">. Reference was made to a current bill in the legislation, HB-981, which mandates UH to accept prior learning experience as college credit for admissions to UHM.</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Deon will look into legislative history and sponsorship.</w:t>
            </w:r>
          </w:p>
        </w:tc>
      </w:tr>
      <w:tr>
        <w:trPr>
          <w:cantSplit w:val="0"/>
          <w:trHeight w:val="460" w:hRule="atLeast"/>
          <w:tblHeader w:val="0"/>
        </w:trPr>
        <w:tc>
          <w:tcPr/>
          <w:p w:rsidR="00000000" w:rsidDel="00000000" w:rsidP="00000000" w:rsidRDefault="00000000" w:rsidRPr="00000000" w14:paraId="00000051">
            <w:pPr>
              <w:pageBreakBefore w:val="0"/>
              <w:rPr>
                <w:b w:val="1"/>
                <w:sz w:val="22"/>
                <w:szCs w:val="22"/>
              </w:rPr>
            </w:pPr>
            <w:r w:rsidDel="00000000" w:rsidR="00000000" w:rsidRPr="00000000">
              <w:rPr>
                <w:rtl w:val="0"/>
              </w:rPr>
            </w:r>
          </w:p>
          <w:p w:rsidR="00000000" w:rsidDel="00000000" w:rsidP="00000000" w:rsidRDefault="00000000" w:rsidRPr="00000000" w14:paraId="00000052">
            <w:pPr>
              <w:pageBreakBefore w:val="0"/>
              <w:rPr>
                <w:b w:val="1"/>
                <w:sz w:val="22"/>
                <w:szCs w:val="22"/>
              </w:rPr>
            </w:pPr>
            <w:r w:rsidDel="00000000" w:rsidR="00000000" w:rsidRPr="00000000">
              <w:rPr>
                <w:b w:val="1"/>
                <w:sz w:val="22"/>
                <w:szCs w:val="22"/>
                <w:rtl w:val="0"/>
              </w:rPr>
              <w:t xml:space="preserve">Issue 24.14</w:t>
            </w:r>
          </w:p>
        </w:tc>
        <w:tc>
          <w:tcPr/>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0"/>
                <w:szCs w:val="20"/>
              </w:rPr>
            </w:pPr>
            <w:r w:rsidDel="00000000" w:rsidR="00000000" w:rsidRPr="00000000">
              <w:rPr>
                <w:sz w:val="22"/>
                <w:szCs w:val="22"/>
                <w:rtl w:val="0"/>
              </w:rPr>
              <w:t xml:space="preserve">SAT/ACT for International Admissions. It was discussed whether a resolution needed to be drafted. The subcommittee will decide whether a resolution is needed</w:t>
            </w:r>
            <w:r w:rsidDel="00000000" w:rsidR="00000000" w:rsidRPr="00000000">
              <w:rPr>
                <w:sz w:val="20"/>
                <w:szCs w:val="20"/>
                <w:rtl w:val="0"/>
              </w:rPr>
              <w:t xml:space="preserve">.</w:t>
            </w:r>
          </w:p>
        </w:tc>
        <w:tc>
          <w:tcPr/>
          <w:p w:rsidR="00000000" w:rsidDel="00000000" w:rsidP="00000000" w:rsidRDefault="00000000" w:rsidRPr="00000000" w14:paraId="00000055">
            <w:pPr>
              <w:pageBreakBefore w:val="0"/>
              <w:rPr>
                <w:sz w:val="22"/>
                <w:szCs w:val="22"/>
              </w:rPr>
            </w:pPr>
            <w:r w:rsidDel="00000000" w:rsidR="00000000" w:rsidRPr="00000000">
              <w:rPr>
                <w:rtl w:val="0"/>
              </w:rPr>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Sarita and Trevor will consult and bring CAPP resolution if needed.</w:t>
            </w:r>
          </w:p>
        </w:tc>
      </w:tr>
      <w:tr>
        <w:trPr>
          <w:cantSplit w:val="0"/>
          <w:trHeight w:val="460" w:hRule="atLeast"/>
          <w:tblHeader w:val="0"/>
        </w:trPr>
        <w:tc>
          <w:tcPr/>
          <w:p w:rsidR="00000000" w:rsidDel="00000000" w:rsidP="00000000" w:rsidRDefault="00000000" w:rsidRPr="00000000" w14:paraId="00000057">
            <w:pPr>
              <w:pageBreakBefore w:val="0"/>
              <w:rPr>
                <w:b w:val="1"/>
                <w:sz w:val="22"/>
                <w:szCs w:val="22"/>
              </w:rPr>
            </w:pPr>
            <w:r w:rsidDel="00000000" w:rsidR="00000000" w:rsidRPr="00000000">
              <w:rPr>
                <w:b w:val="1"/>
                <w:sz w:val="22"/>
                <w:szCs w:val="22"/>
                <w:rtl w:val="0"/>
              </w:rPr>
              <w:t xml:space="preserve">Issue 12.13.</w:t>
            </w:r>
          </w:p>
        </w:tc>
        <w:tc>
          <w:tcPr/>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Admissions. It was determined to table the issue of 2.0 vs 2.5 admissions transfer requirements as it is an articulation question.</w:t>
            </w:r>
          </w:p>
        </w:tc>
        <w:tc>
          <w:tcPr/>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Tabled.</w:t>
            </w:r>
          </w:p>
        </w:tc>
      </w:tr>
      <w:tr>
        <w:trPr>
          <w:cantSplit w:val="0"/>
          <w:trHeight w:val="460" w:hRule="atLeast"/>
          <w:tblHeader w:val="0"/>
        </w:trPr>
        <w:tc>
          <w:tcPr/>
          <w:p w:rsidR="00000000" w:rsidDel="00000000" w:rsidP="00000000" w:rsidRDefault="00000000" w:rsidRPr="00000000" w14:paraId="0000005A">
            <w:pPr>
              <w:pageBreakBefore w:val="0"/>
              <w:rPr>
                <w:b w:val="1"/>
                <w:sz w:val="22"/>
                <w:szCs w:val="22"/>
              </w:rPr>
            </w:pPr>
            <w:r w:rsidDel="00000000" w:rsidR="00000000" w:rsidRPr="00000000">
              <w:rPr>
                <w:b w:val="1"/>
                <w:sz w:val="22"/>
                <w:szCs w:val="22"/>
                <w:rtl w:val="0"/>
              </w:rPr>
              <w:t xml:space="preserve">Issue 13.14</w:t>
            </w:r>
          </w:p>
        </w:tc>
        <w:tc>
          <w:tcPr/>
          <w:p w:rsidR="00000000" w:rsidDel="00000000" w:rsidP="00000000" w:rsidRDefault="00000000" w:rsidRPr="00000000" w14:paraId="0000005B">
            <w:pPr>
              <w:pageBreakBefore w:val="0"/>
              <w:rPr>
                <w:sz w:val="22"/>
                <w:szCs w:val="22"/>
              </w:rPr>
            </w:pPr>
            <w:r w:rsidDel="00000000" w:rsidR="00000000" w:rsidRPr="00000000">
              <w:rPr>
                <w:sz w:val="22"/>
                <w:szCs w:val="22"/>
                <w:u w:val="single"/>
                <w:rtl w:val="0"/>
              </w:rPr>
              <w:t xml:space="preserve">Kuali Curriculum Management System</w:t>
            </w:r>
            <w:r w:rsidDel="00000000" w:rsidR="00000000" w:rsidRPr="00000000">
              <w:rPr>
                <w:sz w:val="22"/>
                <w:szCs w:val="22"/>
                <w:rtl w:val="0"/>
              </w:rPr>
              <w:t xml:space="preserve">.  The Kuali Curriculum System was transferred late last year to a new entity, the Kuali Corporation, and the KC committee is in the transitioning process. Wendy Pearson from the OVCAA will update CAPP with target implementation dates by the end of this semester or early Summer.</w:t>
            </w:r>
          </w:p>
        </w:tc>
        <w:tc>
          <w:tcPr/>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Hector will inquire if there will be any costs for the use of the KCMS.</w:t>
            </w:r>
          </w:p>
        </w:tc>
      </w:tr>
      <w:tr>
        <w:trPr>
          <w:cantSplit w:val="0"/>
          <w:trHeight w:val="460" w:hRule="atLeast"/>
          <w:tblHeader w:val="0"/>
        </w:trPr>
        <w:tc>
          <w:tcPr/>
          <w:p w:rsidR="00000000" w:rsidDel="00000000" w:rsidP="00000000" w:rsidRDefault="00000000" w:rsidRPr="00000000" w14:paraId="0000005D">
            <w:pPr>
              <w:pageBreakBefore w:val="0"/>
              <w:rPr>
                <w:b w:val="1"/>
                <w:sz w:val="22"/>
                <w:szCs w:val="22"/>
              </w:rPr>
            </w:pPr>
            <w:r w:rsidDel="00000000" w:rsidR="00000000" w:rsidRPr="00000000">
              <w:rPr>
                <w:b w:val="1"/>
                <w:sz w:val="22"/>
                <w:szCs w:val="22"/>
                <w:rtl w:val="0"/>
              </w:rPr>
              <w:t xml:space="preserve">Issue 26.12</w:t>
            </w:r>
          </w:p>
        </w:tc>
        <w:tc>
          <w:tcPr/>
          <w:p w:rsidR="00000000" w:rsidDel="00000000" w:rsidP="00000000" w:rsidRDefault="00000000" w:rsidRPr="00000000" w14:paraId="0000005E">
            <w:pPr>
              <w:pageBreakBefore w:val="0"/>
              <w:rPr>
                <w:sz w:val="22"/>
                <w:szCs w:val="22"/>
              </w:rPr>
            </w:pPr>
            <w:r w:rsidDel="00000000" w:rsidR="00000000" w:rsidRPr="00000000">
              <w:rPr>
                <w:sz w:val="22"/>
                <w:szCs w:val="22"/>
                <w:u w:val="single"/>
                <w:rtl w:val="0"/>
              </w:rPr>
              <w:t xml:space="preserve">Undergraduate degree plan implementation</w:t>
            </w:r>
            <w:r w:rsidDel="00000000" w:rsidR="00000000" w:rsidRPr="00000000">
              <w:rPr>
                <w:sz w:val="22"/>
                <w:szCs w:val="22"/>
                <w:rtl w:val="0"/>
              </w:rPr>
              <w:t xml:space="preserve">. As discussed in the Jan. 28 CAPP meeting, it was determined that this issue should be tabled unless we can obtain additional information from Rodwell of the Office of Undergrad Ed in OVCAA on the 10 programs on which they have data.</w:t>
            </w:r>
          </w:p>
        </w:tc>
        <w:tc>
          <w:tcPr/>
          <w:p w:rsidR="00000000" w:rsidDel="00000000" w:rsidP="00000000" w:rsidRDefault="00000000" w:rsidRPr="00000000" w14:paraId="0000005F">
            <w:pPr>
              <w:pageBreakBefore w:val="0"/>
              <w:rPr>
                <w:sz w:val="22"/>
                <w:szCs w:val="22"/>
              </w:rPr>
            </w:pPr>
            <w:r w:rsidDel="00000000" w:rsidR="00000000" w:rsidRPr="00000000">
              <w:rPr>
                <w:rtl w:val="0"/>
              </w:rPr>
            </w:r>
          </w:p>
        </w:tc>
      </w:tr>
      <w:tr>
        <w:trPr>
          <w:cantSplit w:val="0"/>
          <w:trHeight w:val="2080" w:hRule="atLeast"/>
          <w:tblHeader w:val="0"/>
        </w:trPr>
        <w:tc>
          <w:tcPr/>
          <w:p w:rsidR="00000000" w:rsidDel="00000000" w:rsidP="00000000" w:rsidRDefault="00000000" w:rsidRPr="00000000" w14:paraId="00000060">
            <w:pPr>
              <w:pageBreakBefore w:val="0"/>
              <w:rPr>
                <w:b w:val="1"/>
                <w:sz w:val="22"/>
                <w:szCs w:val="22"/>
              </w:rPr>
            </w:pPr>
            <w:r w:rsidDel="00000000" w:rsidR="00000000" w:rsidRPr="00000000">
              <w:rPr>
                <w:b w:val="1"/>
                <w:sz w:val="22"/>
                <w:szCs w:val="22"/>
                <w:rtl w:val="0"/>
              </w:rPr>
              <w:t xml:space="preserve">Issue 9.13</w:t>
            </w:r>
          </w:p>
          <w:p w:rsidR="00000000" w:rsidDel="00000000" w:rsidP="00000000" w:rsidRDefault="00000000" w:rsidRPr="00000000" w14:paraId="00000061">
            <w:pPr>
              <w:pageBreakBefore w:val="0"/>
              <w:rPr>
                <w:b w:val="1"/>
                <w:sz w:val="22"/>
                <w:szCs w:val="22"/>
              </w:rPr>
            </w:pPr>
            <w:r w:rsidDel="00000000" w:rsidR="00000000" w:rsidRPr="00000000">
              <w:rPr>
                <w:rtl w:val="0"/>
              </w:rPr>
            </w:r>
          </w:p>
          <w:p w:rsidR="00000000" w:rsidDel="00000000" w:rsidP="00000000" w:rsidRDefault="00000000" w:rsidRPr="00000000" w14:paraId="00000062">
            <w:pPr>
              <w:pageBreakBefore w:val="0"/>
              <w:rPr>
                <w:b w:val="1"/>
                <w:sz w:val="22"/>
                <w:szCs w:val="22"/>
              </w:rPr>
            </w:pPr>
            <w:r w:rsidDel="00000000" w:rsidR="00000000" w:rsidRPr="00000000">
              <w:rPr>
                <w:rtl w:val="0"/>
              </w:rPr>
            </w:r>
          </w:p>
          <w:p w:rsidR="00000000" w:rsidDel="00000000" w:rsidP="00000000" w:rsidRDefault="00000000" w:rsidRPr="00000000" w14:paraId="00000063">
            <w:pPr>
              <w:pageBreakBefore w:val="0"/>
              <w:rPr>
                <w:b w:val="1"/>
                <w:sz w:val="22"/>
                <w:szCs w:val="22"/>
              </w:rPr>
            </w:pPr>
            <w:r w:rsidDel="00000000" w:rsidR="00000000" w:rsidRPr="00000000">
              <w:rPr>
                <w:rtl w:val="0"/>
              </w:rPr>
            </w:r>
          </w:p>
          <w:p w:rsidR="00000000" w:rsidDel="00000000" w:rsidP="00000000" w:rsidRDefault="00000000" w:rsidRPr="00000000" w14:paraId="00000064">
            <w:pPr>
              <w:pageBreakBefore w:val="0"/>
              <w:rPr>
                <w:b w:val="1"/>
                <w:sz w:val="22"/>
                <w:szCs w:val="22"/>
              </w:rPr>
            </w:pPr>
            <w:r w:rsidDel="00000000" w:rsidR="00000000" w:rsidRPr="00000000">
              <w:rPr>
                <w:rtl w:val="0"/>
              </w:rPr>
            </w:r>
          </w:p>
          <w:p w:rsidR="00000000" w:rsidDel="00000000" w:rsidP="00000000" w:rsidRDefault="00000000" w:rsidRPr="00000000" w14:paraId="00000065">
            <w:pPr>
              <w:pageBreakBefore w:val="0"/>
              <w:rPr>
                <w:b w:val="1"/>
                <w:sz w:val="22"/>
                <w:szCs w:val="22"/>
              </w:rPr>
            </w:pPr>
            <w:r w:rsidDel="00000000" w:rsidR="00000000" w:rsidRPr="00000000">
              <w:rPr>
                <w:rtl w:val="0"/>
              </w:rPr>
            </w:r>
          </w:p>
          <w:p w:rsidR="00000000" w:rsidDel="00000000" w:rsidP="00000000" w:rsidRDefault="00000000" w:rsidRPr="00000000" w14:paraId="00000066">
            <w:pPr>
              <w:pageBreakBefore w:val="0"/>
              <w:rPr>
                <w:b w:val="1"/>
                <w:sz w:val="22"/>
                <w:szCs w:val="22"/>
              </w:rPr>
            </w:pPr>
            <w:r w:rsidDel="00000000" w:rsidR="00000000" w:rsidRPr="00000000">
              <w:rPr>
                <w:rtl w:val="0"/>
              </w:rPr>
            </w:r>
          </w:p>
          <w:p w:rsidR="00000000" w:rsidDel="00000000" w:rsidP="00000000" w:rsidRDefault="00000000" w:rsidRPr="00000000" w14:paraId="00000067">
            <w:pPr>
              <w:pageBreakBefore w:val="0"/>
              <w:rPr>
                <w:b w:val="1"/>
                <w:sz w:val="22"/>
                <w:szCs w:val="22"/>
              </w:rPr>
            </w:pPr>
            <w:r w:rsidDel="00000000" w:rsidR="00000000" w:rsidRPr="00000000">
              <w:rPr>
                <w:b w:val="1"/>
                <w:sz w:val="22"/>
                <w:szCs w:val="22"/>
                <w:rtl w:val="0"/>
              </w:rPr>
              <w:t xml:space="preserve">Comments on new issue. </w:t>
            </w:r>
          </w:p>
        </w:tc>
        <w:tc>
          <w:tcPr/>
          <w:p w:rsidR="00000000" w:rsidDel="00000000" w:rsidP="00000000" w:rsidRDefault="00000000" w:rsidRPr="00000000" w14:paraId="00000068">
            <w:pPr>
              <w:pageBreakBefore w:val="0"/>
              <w:rPr>
                <w:sz w:val="22"/>
                <w:szCs w:val="22"/>
              </w:rPr>
            </w:pPr>
            <w:r w:rsidDel="00000000" w:rsidR="00000000" w:rsidRPr="00000000">
              <w:rPr>
                <w:sz w:val="22"/>
                <w:szCs w:val="22"/>
                <w:u w:val="single"/>
                <w:rtl w:val="0"/>
              </w:rPr>
              <w:t xml:space="preserve">Governance of interdisciplinary programs</w:t>
            </w:r>
            <w:r w:rsidDel="00000000" w:rsidR="00000000" w:rsidRPr="00000000">
              <w:rPr>
                <w:sz w:val="22"/>
                <w:szCs w:val="22"/>
                <w:rtl w:val="0"/>
              </w:rPr>
              <w:t xml:space="preserve">. Interdisciplinary Studies sent a memo to CAPP explaining how the process works and how many majors they have. It was determined that the memo is satisfactory. The IS part of this issue is completed, and we will return to the overall issue of improving governance of interdisciplinary fields. </w:t>
            </w:r>
          </w:p>
          <w:p w:rsidR="00000000" w:rsidDel="00000000" w:rsidP="00000000" w:rsidRDefault="00000000" w:rsidRPr="00000000" w14:paraId="00000069">
            <w:pPr>
              <w:pageBreakBefore w:val="0"/>
              <w:rPr>
                <w:sz w:val="22"/>
                <w:szCs w:val="22"/>
              </w:rPr>
            </w:pPr>
            <w:r w:rsidDel="00000000" w:rsidR="00000000" w:rsidRPr="00000000">
              <w:rPr>
                <w:rtl w:val="0"/>
              </w:rPr>
            </w:r>
          </w:p>
          <w:p w:rsidR="00000000" w:rsidDel="00000000" w:rsidP="00000000" w:rsidRDefault="00000000" w:rsidRPr="00000000" w14:paraId="0000006A">
            <w:pPr>
              <w:pageBreakBefore w:val="0"/>
              <w:rPr>
                <w:sz w:val="22"/>
                <w:szCs w:val="22"/>
              </w:rPr>
            </w:pPr>
            <w:r w:rsidDel="00000000" w:rsidR="00000000" w:rsidRPr="00000000">
              <w:rPr>
                <w:sz w:val="22"/>
                <w:szCs w:val="22"/>
                <w:u w:val="single"/>
                <w:rtl w:val="0"/>
              </w:rPr>
              <w:t xml:space="preserve">Revisions to M5.312 Executive Policy on Multiple Undergrad Majors/Degrees</w:t>
            </w:r>
            <w:r w:rsidDel="00000000" w:rsidR="00000000" w:rsidRPr="00000000">
              <w:rPr>
                <w:sz w:val="22"/>
                <w:szCs w:val="22"/>
                <w:rtl w:val="0"/>
              </w:rPr>
              <w:t xml:space="preserve">.  CAPP was asked to comment informally on revisions to policy as in January 12 memo to Bontekoe and found them acceptable.  </w:t>
            </w:r>
          </w:p>
        </w:tc>
        <w:tc>
          <w:tcPr/>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Sai will draft a letter to thank Interdisciplinary Studies for their memo.</w:t>
            </w:r>
          </w:p>
        </w:tc>
      </w:tr>
      <w:tr>
        <w:trPr>
          <w:cantSplit w:val="0"/>
          <w:trHeight w:val="460" w:hRule="atLeast"/>
          <w:tblHeader w:val="0"/>
        </w:trPr>
        <w:tc>
          <w:tcPr/>
          <w:p w:rsidR="00000000" w:rsidDel="00000000" w:rsidP="00000000" w:rsidRDefault="00000000" w:rsidRPr="00000000" w14:paraId="0000006C">
            <w:pPr>
              <w:pageBreakBefore w:val="0"/>
              <w:rPr>
                <w:b w:val="1"/>
                <w:sz w:val="22"/>
                <w:szCs w:val="22"/>
              </w:rPr>
            </w:pPr>
            <w:r w:rsidDel="00000000" w:rsidR="00000000" w:rsidRPr="00000000">
              <w:rPr>
                <w:b w:val="1"/>
                <w:sz w:val="22"/>
                <w:szCs w:val="22"/>
                <w:rtl w:val="0"/>
              </w:rPr>
              <w:t xml:space="preserve">Possible New Issue </w:t>
            </w:r>
          </w:p>
        </w:tc>
        <w:tc>
          <w:tcPr/>
          <w:p w:rsidR="00000000" w:rsidDel="00000000" w:rsidP="00000000" w:rsidRDefault="00000000" w:rsidRPr="00000000" w14:paraId="0000006D">
            <w:pPr>
              <w:pageBreakBefore w:val="0"/>
              <w:rPr>
                <w:sz w:val="22"/>
                <w:szCs w:val="22"/>
              </w:rPr>
            </w:pPr>
            <w:r w:rsidDel="00000000" w:rsidR="00000000" w:rsidRPr="00000000">
              <w:rPr>
                <w:sz w:val="22"/>
                <w:szCs w:val="22"/>
                <w:u w:val="single"/>
                <w:rtl w:val="0"/>
              </w:rPr>
              <w:t xml:space="preserve">Quantitative Reasoning</w:t>
            </w:r>
            <w:r w:rsidDel="00000000" w:rsidR="00000000" w:rsidRPr="00000000">
              <w:rPr>
                <w:sz w:val="22"/>
                <w:szCs w:val="22"/>
                <w:rtl w:val="0"/>
              </w:rPr>
              <w:t xml:space="preserve">. This issue has not yet been assigned by the SEC to CAPP. This issue is with regards to a memo from the Quantitative Reasoning Working Group with recommendations on two (2) possible proposed models for Quantitative Reasoning requirement.</w:t>
            </w:r>
          </w:p>
        </w:tc>
        <w:tc>
          <w:tcPr/>
          <w:p w:rsidR="00000000" w:rsidDel="00000000" w:rsidP="00000000" w:rsidRDefault="00000000" w:rsidRPr="00000000" w14:paraId="0000006E">
            <w:pPr>
              <w:pageBreakBefore w:val="0"/>
              <w:rPr>
                <w:sz w:val="22"/>
                <w:szCs w:val="22"/>
              </w:rPr>
            </w:pPr>
            <w:r w:rsidDel="00000000" w:rsidR="00000000" w:rsidRPr="00000000">
              <w:rPr>
                <w:sz w:val="22"/>
                <w:szCs w:val="22"/>
                <w:rtl w:val="0"/>
              </w:rPr>
              <w:t xml:space="preserve">Chair will share the memo, if the issue is assigned to CAPP.</w:t>
            </w:r>
          </w:p>
        </w:tc>
      </w:tr>
      <w:tr>
        <w:trPr>
          <w:cantSplit w:val="0"/>
          <w:trHeight w:val="580" w:hRule="atLeast"/>
          <w:tblHeader w:val="0"/>
        </w:trPr>
        <w:tc>
          <w:tcPr/>
          <w:p w:rsidR="00000000" w:rsidDel="00000000" w:rsidP="00000000" w:rsidRDefault="00000000" w:rsidRPr="00000000" w14:paraId="0000006F">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70">
            <w:pPr>
              <w:pageBreakBefore w:val="0"/>
              <w:rPr>
                <w:sz w:val="22"/>
                <w:szCs w:val="22"/>
              </w:rPr>
            </w:pPr>
            <w:r w:rsidDel="00000000" w:rsidR="00000000" w:rsidRPr="00000000">
              <w:rPr>
                <w:rtl w:val="0"/>
              </w:rPr>
            </w:r>
          </w:p>
        </w:tc>
        <w:tc>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meeting was adjourned at 12:50 p.m.</w:t>
            </w:r>
          </w:p>
        </w:tc>
        <w:tc>
          <w:tcPr/>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meeting: 11 March 2015</w:t>
            </w:r>
          </w:p>
        </w:tc>
      </w:tr>
    </w:tbl>
    <w:p w:rsidR="00000000" w:rsidDel="00000000" w:rsidP="00000000" w:rsidRDefault="00000000" w:rsidRPr="00000000" w14:paraId="00000073">
      <w:pPr>
        <w:pageBreakBefore w:val="0"/>
        <w:rPr>
          <w:sz w:val="22"/>
          <w:szCs w:val="22"/>
        </w:rPr>
      </w:pPr>
      <w:r w:rsidDel="00000000" w:rsidR="00000000" w:rsidRPr="00000000">
        <w:rPr>
          <w:rtl w:val="0"/>
        </w:rPr>
      </w:r>
    </w:p>
    <w:p w:rsidR="00000000" w:rsidDel="00000000" w:rsidP="00000000" w:rsidRDefault="00000000" w:rsidRPr="00000000" w14:paraId="00000074">
      <w:pPr>
        <w:pageBreakBefore w:val="0"/>
        <w:rPr>
          <w:sz w:val="22"/>
          <w:szCs w:val="22"/>
        </w:rPr>
      </w:pPr>
      <w:r w:rsidDel="00000000" w:rsidR="00000000" w:rsidRPr="00000000">
        <w:rPr>
          <w:sz w:val="22"/>
          <w:szCs w:val="22"/>
          <w:rtl w:val="0"/>
        </w:rPr>
        <w:t xml:space="preserve">Respectfully submitted by Hector Valenzuela </w:t>
      </w:r>
    </w:p>
    <w:p w:rsidR="00000000" w:rsidDel="00000000" w:rsidP="00000000" w:rsidRDefault="00000000" w:rsidRPr="00000000" w14:paraId="00000075">
      <w:pPr>
        <w:pageBreakBefore w:val="0"/>
        <w:rPr>
          <w:sz w:val="22"/>
          <w:szCs w:val="22"/>
        </w:rPr>
      </w:pPr>
      <w:r w:rsidDel="00000000" w:rsidR="00000000" w:rsidRPr="00000000">
        <w:rPr>
          <w:sz w:val="22"/>
          <w:szCs w:val="22"/>
          <w:rtl w:val="0"/>
        </w:rPr>
        <w:t xml:space="preserve">Approved unanimously on April 8, 2015.</w:t>
      </w:r>
    </w:p>
    <w:p w:rsidR="00000000" w:rsidDel="00000000" w:rsidP="00000000" w:rsidRDefault="00000000" w:rsidRPr="00000000" w14:paraId="00000076">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4381500" cy="914400"/>
              <wp:effectExtent b="0" l="0" r="0" t="0"/>
              <wp:wrapSquare wrapText="bothSides" distB="0" distT="0" distL="114300" distR="114300"/>
              <wp:docPr id="1" name=""/>
              <a:graphic>
                <a:graphicData uri="http://schemas.microsoft.com/office/word/2010/wordprocessingShape">
                  <wps:wsp>
                    <wps:cNvSpPr/>
                    <wps:cNvPr id="2" name="Shape 2"/>
                    <wps:spPr>
                      <a:xfrm>
                        <a:off x="3154298" y="3322800"/>
                        <a:ext cx="4383405" cy="9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Academic Policy and Planning (CAPP)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4381500" cy="9144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914400"/>
                      </a:xfrm>
                      <a:prstGeom prst="rect"/>
                      <a:ln/>
                    </pic:spPr>
                  </pic:pic>
                </a:graphicData>
              </a:graphic>
            </wp:anchor>
          </w:drawing>
        </mc:Fallback>
      </mc:AlternateConten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