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ACADEMIC POLICY AND PLANNING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ab/>
        <w:t xml:space="preserve">11 March 2015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8"/>
        <w:gridCol w:w="360"/>
        <w:gridCol w:w="3060"/>
        <w:gridCol w:w="360"/>
        <w:gridCol w:w="2520"/>
        <w:gridCol w:w="270"/>
        <w:gridCol w:w="1170"/>
        <w:gridCol w:w="810"/>
        <w:tblGridChange w:id="0">
          <w:tblGrid>
            <w:gridCol w:w="2178"/>
            <w:gridCol w:w="360"/>
            <w:gridCol w:w="3060"/>
            <w:gridCol w:w="360"/>
            <w:gridCol w:w="2520"/>
            <w:gridCol w:w="270"/>
            <w:gridCol w:w="117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BHATAWADEKAR, Sai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SIMANU-KLUTZ, Manumaua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WOODRUFF, Rosemarie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CANYON, Deon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SORENSEN, Trevor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COONEY, Robert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RAI, Sarita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STEPHENSON, Carolyn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LIM, Umhee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VALENZUELA, Hector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970"/>
        <w:tblGridChange w:id="0">
          <w:tblGrid>
            <w:gridCol w:w="1908"/>
            <w:gridCol w:w="630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off by Chair Carolyn Stephenson at 11:20A.M. after quorum not established.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will be reviewed at the next CAPP meeting.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Chair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Chair introduced new member of CAPP Umhee Lim.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other business could officially be done due to lack of quorum.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.4" w:line="24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meeting was adjourned at 11:20 a.m.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meetings: 8 and 22 April 2015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__Carolyn Stephenson______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Date</w:t>
      </w:r>
      <w:r w:rsidDel="00000000" w:rsidR="00000000" w:rsidRPr="00000000">
        <w:rPr>
          <w:sz w:val="22"/>
          <w:szCs w:val="22"/>
          <w:rtl w:val="0"/>
        </w:rPr>
        <w:t xml:space="preserve"> with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1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-114299</wp:posOffset>
              </wp:positionV>
              <wp:extent cx="4381500" cy="9144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322800"/>
                        <a:ext cx="438340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Academic Policy and Planning (CAPP)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-114299</wp:posOffset>
              </wp:positionV>
              <wp:extent cx="4381500" cy="9144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914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