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ACADEMIC POLICY AND PLANNING</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tab/>
        <w:t xml:space="preserve">08 April 2015</w:t>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178"/>
        <w:gridCol w:w="360"/>
        <w:gridCol w:w="3060"/>
        <w:gridCol w:w="360"/>
        <w:gridCol w:w="2520"/>
        <w:gridCol w:w="270"/>
        <w:gridCol w:w="1170"/>
        <w:gridCol w:w="810"/>
        <w:tblGridChange w:id="0">
          <w:tblGrid>
            <w:gridCol w:w="2178"/>
            <w:gridCol w:w="360"/>
            <w:gridCol w:w="3060"/>
            <w:gridCol w:w="360"/>
            <w:gridCol w:w="2520"/>
            <w:gridCol w:w="270"/>
            <w:gridCol w:w="117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BHATAWADEKAR, Sai</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SIMANU-KLUTZ, Manumaua</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WOODRUFF, Rosemarie</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CANYON, Deon</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SORENSEN, Trevor</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COONEY, Robert</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RAI, Sarita</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STEPHENSON, Carolyn</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rtl w:val="0"/>
              </w:rPr>
            </w:r>
          </w:p>
        </w:tc>
        <w:tc>
          <w:tcPr/>
          <w:p w:rsidR="00000000" w:rsidDel="00000000" w:rsidP="00000000" w:rsidRDefault="00000000" w:rsidRPr="00000000" w14:paraId="00000029">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VALENZUELA, Hector</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rFonts w:ascii="Times" w:cs="Times" w:eastAsia="Times" w:hAnsi="Times"/>
                <w:sz w:val="22"/>
                <w:szCs w:val="22"/>
              </w:rPr>
            </w:pPr>
            <w:r w:rsidDel="00000000" w:rsidR="00000000" w:rsidRPr="00000000">
              <w:rPr>
                <w:rtl w:val="0"/>
              </w:rPr>
            </w:r>
          </w:p>
        </w:tc>
        <w:tc>
          <w:tcPr/>
          <w:p w:rsidR="00000000" w:rsidDel="00000000" w:rsidP="00000000" w:rsidRDefault="00000000" w:rsidRPr="00000000" w14:paraId="00000031">
            <w:pPr>
              <w:pageBreakBefore w:val="0"/>
              <w:jc w:val="center"/>
              <w:rPr>
                <w:rFonts w:ascii="Times" w:cs="Times" w:eastAsia="Times" w:hAnsi="Times"/>
                <w:sz w:val="22"/>
                <w:szCs w:val="22"/>
              </w:rPr>
            </w:pPr>
            <w:r w:rsidDel="00000000" w:rsidR="00000000" w:rsidRPr="00000000">
              <w:rPr>
                <w:rtl w:val="0"/>
              </w:rPr>
            </w:r>
          </w:p>
        </w:tc>
        <w:tc>
          <w:tcPr/>
          <w:p w:rsidR="00000000" w:rsidDel="00000000" w:rsidP="00000000" w:rsidRDefault="00000000" w:rsidRPr="00000000" w14:paraId="00000032">
            <w:pPr>
              <w:pageBreakBefore w:val="0"/>
              <w:rPr>
                <w:rFonts w:ascii="Times" w:cs="Times" w:eastAsia="Times" w:hAnsi="Times"/>
                <w:sz w:val="22"/>
                <w:szCs w:val="22"/>
              </w:rPr>
            </w:pP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rPr>
                <w:sz w:val="22"/>
                <w:szCs w:val="22"/>
              </w:rPr>
            </w:pPr>
            <w:r w:rsidDel="00000000" w:rsidR="00000000" w:rsidRPr="00000000">
              <w:rPr>
                <w:sz w:val="22"/>
                <w:szCs w:val="22"/>
                <w:rtl w:val="0"/>
              </w:rPr>
              <w:t xml:space="preserve">Meeting called to order by Chair Carolyn Stephenson at 11:05AM. </w:t>
            </w:r>
          </w:p>
        </w:tc>
        <w:tc>
          <w:tcPr/>
          <w:p w:rsidR="00000000" w:rsidDel="00000000" w:rsidP="00000000" w:rsidRDefault="00000000" w:rsidRPr="00000000" w14:paraId="0000003E">
            <w:pPr>
              <w:pageBreakBefore w:val="0"/>
              <w:rPr>
                <w:sz w:val="22"/>
                <w:szCs w:val="22"/>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3F">
            <w:pPr>
              <w:pageBreakBefore w:val="0"/>
              <w:rPr>
                <w:b w:val="1"/>
                <w:sz w:val="22"/>
                <w:szCs w:val="22"/>
              </w:rPr>
            </w:pPr>
            <w:r w:rsidDel="00000000" w:rsidR="00000000" w:rsidRPr="00000000">
              <w:rPr>
                <w:b w:val="1"/>
                <w:sz w:val="22"/>
                <w:szCs w:val="22"/>
                <w:rtl w:val="0"/>
              </w:rPr>
              <w:t xml:space="preserve">MINUTES</w:t>
            </w:r>
          </w:p>
          <w:p w:rsidR="00000000" w:rsidDel="00000000" w:rsidP="00000000" w:rsidRDefault="00000000" w:rsidRPr="00000000" w14:paraId="00000040">
            <w:pPr>
              <w:pageBreakBefore w:val="0"/>
              <w:rPr>
                <w:b w:val="1"/>
                <w:sz w:val="20"/>
                <w:szCs w:val="20"/>
              </w:rPr>
            </w:pPr>
            <w:r w:rsidDel="00000000" w:rsidR="00000000" w:rsidRPr="00000000">
              <w:rPr>
                <w:rtl w:val="0"/>
              </w:rPr>
            </w:r>
          </w:p>
        </w:tc>
        <w:tc>
          <w:tcPr/>
          <w:p w:rsidR="00000000" w:rsidDel="00000000" w:rsidP="00000000" w:rsidRDefault="00000000" w:rsidRPr="00000000" w14:paraId="00000041">
            <w:pPr>
              <w:pageBreakBefore w:val="0"/>
              <w:spacing w:after="2.4" w:before="2.4" w:lineRule="auto"/>
              <w:rPr>
                <w:color w:val="000000"/>
                <w:sz w:val="22"/>
                <w:szCs w:val="22"/>
              </w:rPr>
            </w:pPr>
            <w:r w:rsidDel="00000000" w:rsidR="00000000" w:rsidRPr="00000000">
              <w:rPr>
                <w:color w:val="000000"/>
                <w:sz w:val="22"/>
                <w:szCs w:val="22"/>
                <w:rtl w:val="0"/>
              </w:rPr>
              <w:t xml:space="preserve">Minutes from the February 11, 2015 meeting were unanimously approved.</w:t>
            </w:r>
          </w:p>
        </w:tc>
        <w:tc>
          <w:tcPr/>
          <w:p w:rsidR="00000000" w:rsidDel="00000000" w:rsidP="00000000" w:rsidRDefault="00000000" w:rsidRPr="00000000" w14:paraId="00000042">
            <w:pPr>
              <w:pageBreakBefore w:val="0"/>
              <w:spacing w:after="2.4" w:before="2.4" w:lineRule="auto"/>
              <w:rPr>
                <w:sz w:val="22"/>
                <w:szCs w:val="22"/>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3">
            <w:pPr>
              <w:pageBreakBefore w:val="0"/>
              <w:rPr>
                <w:b w:val="1"/>
                <w:sz w:val="22"/>
                <w:szCs w:val="22"/>
              </w:rPr>
            </w:pPr>
            <w:r w:rsidDel="00000000" w:rsidR="00000000" w:rsidRPr="00000000">
              <w:rPr>
                <w:b w:val="1"/>
                <w:sz w:val="22"/>
                <w:szCs w:val="22"/>
                <w:rtl w:val="0"/>
              </w:rPr>
              <w:t xml:space="preserve">GEC Resolution on QR</w:t>
            </w:r>
          </w:p>
        </w:tc>
        <w:tc>
          <w:tcPr/>
          <w:p w:rsidR="00000000" w:rsidDel="00000000" w:rsidP="00000000" w:rsidRDefault="00000000" w:rsidRPr="00000000" w14:paraId="00000044">
            <w:pPr>
              <w:pageBreakBefore w:val="0"/>
              <w:rPr/>
            </w:pPr>
            <w:r w:rsidDel="00000000" w:rsidR="00000000" w:rsidRPr="00000000">
              <w:rPr>
                <w:rtl w:val="0"/>
              </w:rPr>
              <w:t xml:space="preserve">CAPP was asked to discuss this item by SEC even though it already been reviewed by SEC and would be on the next faculty senate meeting agenda.</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Extensive discussion generated the following points.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It was pointed out that the SEC has already fixed the change of the word “our” to “the” in last whereas.</w:t>
            </w:r>
          </w:p>
          <w:p w:rsidR="00000000" w:rsidDel="00000000" w:rsidP="00000000" w:rsidRDefault="00000000" w:rsidRPr="00000000" w14:paraId="00000049">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Everyone was in favor of the first action clause of the resolution as written, that </w:t>
            </w:r>
            <w:r w:rsidDel="00000000" w:rsidR="00000000" w:rsidRPr="00000000">
              <w:rPr>
                <w:rFonts w:ascii="Calibri" w:cs="Calibri" w:eastAsia="Calibri" w:hAnsi="Calibri"/>
                <w:sz w:val="22"/>
                <w:szCs w:val="22"/>
                <w:rtl w:val="0"/>
              </w:rPr>
              <w:t xml:space="preserve">“ the Mānoa Faculty Senate recommends that the current Foundations Symbolic Reasoning General Education core requirement be replaced by a Foundations Quantitative Reasoning General Education core requirement to be implemented with the Fall 2018 Freshman class.”</w:t>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There was not agreement on the second and third clauses.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Concerns/resolutions expressed included the following: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1) Clauses #2 and #3 and parts of the background document </w:t>
            </w:r>
          </w:p>
          <w:p w:rsidR="00000000" w:rsidDel="00000000" w:rsidP="00000000" w:rsidRDefault="00000000" w:rsidRPr="00000000" w14:paraId="00000051">
            <w:pPr>
              <w:pageBreakBefore w:val="0"/>
              <w:rPr/>
            </w:pPr>
            <w:r w:rsidDel="00000000" w:rsidR="00000000" w:rsidRPr="00000000">
              <w:rPr>
                <w:rtl w:val="0"/>
              </w:rPr>
              <w:t xml:space="preserve">to a substantial degree still seem to follow the originally proposed and rejected model 2.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2) Clause #2 does not really suggest any change in student requirements, nor does there appear to be any provision for how to report or keep records on what courses might include QR elements.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rFonts w:ascii="Calibri" w:cs="Calibri" w:eastAsia="Calibri" w:hAnsi="Calibri"/>
                <w:sz w:val="22"/>
                <w:szCs w:val="22"/>
              </w:rPr>
            </w:pPr>
            <w:r w:rsidDel="00000000" w:rsidR="00000000" w:rsidRPr="00000000">
              <w:rPr>
                <w:rtl w:val="0"/>
              </w:rPr>
              <w:t xml:space="preserve">3) A member of CAPP received word from a member of the Math department about concerns with implementation of QR in courses beyond the foundational level.  In addition, we do not understand why it recommends starting with General Education Diversification courses; why might those be more suitable than others for QR?  </w:t>
            </w: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Two proposals were generated: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a) The resolution include only the first action clause; 5 votes. b) Drop clause 2 and modify clause 3 as follows; 4 votes.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“The MFS recommends that the General Education Committee further develop the document attached to the resolution and that the General Education Office make it available to faculty members to aid in the implementation of adding quantitative reasoning to the curriculum.”</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This needs to be included because the current document still contains elements of model 2, including QR focus courses at the upper levels, and it needs to be tweaked to relate more directly to lower division requirements.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The hard work of the committee in compiling this document is acknowledged, but it still needs more revision before official adoption by the faculty senate.  Given time restraints, allowing revisions by GEC and GEO after senate approval would seem to be appropriate.</w:t>
            </w:r>
          </w:p>
          <w:p w:rsidR="00000000" w:rsidDel="00000000" w:rsidP="00000000" w:rsidRDefault="00000000" w:rsidRPr="00000000" w14:paraId="00000060">
            <w:pPr>
              <w:pageBreakBefore w:val="0"/>
              <w:spacing w:after="2.4" w:before="2.4" w:lineRule="auto"/>
              <w:rPr>
                <w:b w:val="1"/>
                <w:color w:val="000000"/>
                <w:sz w:val="22"/>
                <w:szCs w:val="22"/>
              </w:rPr>
            </w:pPr>
            <w:r w:rsidDel="00000000" w:rsidR="00000000" w:rsidRPr="00000000">
              <w:rPr>
                <w:rtl w:val="0"/>
              </w:rPr>
            </w:r>
          </w:p>
        </w:tc>
        <w:tc>
          <w:tcPr/>
          <w:p w:rsidR="00000000" w:rsidDel="00000000" w:rsidP="00000000" w:rsidRDefault="00000000" w:rsidRPr="00000000" w14:paraId="00000061">
            <w:pPr>
              <w:pageBreakBefore w:val="0"/>
              <w:spacing w:after="2.4" w:before="2.4" w:lineRule="auto"/>
              <w:rPr>
                <w:sz w:val="22"/>
                <w:szCs w:val="22"/>
              </w:rPr>
            </w:pPr>
            <w:r w:rsidDel="00000000" w:rsidR="00000000" w:rsidRPr="00000000">
              <w:rPr>
                <w:sz w:val="22"/>
                <w:szCs w:val="22"/>
                <w:rtl w:val="0"/>
              </w:rPr>
              <w:t xml:space="preserve">Chair to send response to SEC.</w:t>
            </w:r>
          </w:p>
        </w:tc>
      </w:tr>
      <w:tr>
        <w:trPr>
          <w:cantSplit w:val="0"/>
          <w:trHeight w:val="960" w:hRule="atLeast"/>
          <w:tblHeader w:val="0"/>
        </w:trPr>
        <w:tc>
          <w:tcPr/>
          <w:p w:rsidR="00000000" w:rsidDel="00000000" w:rsidP="00000000" w:rsidRDefault="00000000" w:rsidRPr="00000000" w14:paraId="00000062">
            <w:pPr>
              <w:pageBreakBefore w:val="0"/>
              <w:rPr>
                <w:b w:val="1"/>
                <w:sz w:val="22"/>
                <w:szCs w:val="22"/>
              </w:rPr>
            </w:pPr>
            <w:r w:rsidDel="00000000" w:rsidR="00000000" w:rsidRPr="00000000">
              <w:rPr>
                <w:b w:val="1"/>
                <w:sz w:val="22"/>
                <w:szCs w:val="22"/>
                <w:rtl w:val="0"/>
              </w:rPr>
              <w:t xml:space="preserve">Issue 4.15</w:t>
            </w:r>
          </w:p>
        </w:tc>
        <w:tc>
          <w:tcPr/>
          <w:p w:rsidR="00000000" w:rsidDel="00000000" w:rsidP="00000000" w:rsidRDefault="00000000" w:rsidRPr="00000000" w14:paraId="00000063">
            <w:pPr>
              <w:pageBreakBefore w:val="0"/>
              <w:spacing w:after="2.4" w:before="2.4" w:lineRule="auto"/>
              <w:rPr>
                <w:color w:val="000000"/>
                <w:sz w:val="22"/>
                <w:szCs w:val="22"/>
              </w:rPr>
            </w:pPr>
            <w:r w:rsidDel="00000000" w:rsidR="00000000" w:rsidRPr="00000000">
              <w:rPr>
                <w:sz w:val="22"/>
                <w:szCs w:val="22"/>
                <w:u w:val="single"/>
                <w:rtl w:val="0"/>
              </w:rPr>
              <w:t xml:space="preserve">Prior Learning Assessment</w:t>
            </w:r>
            <w:r w:rsidDel="00000000" w:rsidR="00000000" w:rsidRPr="00000000">
              <w:rPr>
                <w:color w:val="000000"/>
                <w:sz w:val="22"/>
                <w:szCs w:val="22"/>
                <w:rtl w:val="0"/>
              </w:rPr>
              <w:t xml:space="preserve">. </w:t>
            </w:r>
          </w:p>
          <w:p w:rsidR="00000000" w:rsidDel="00000000" w:rsidP="00000000" w:rsidRDefault="00000000" w:rsidRPr="00000000" w14:paraId="00000064">
            <w:pPr>
              <w:pageBreakBefore w:val="0"/>
              <w:spacing w:after="2.4" w:before="2.4" w:lineRule="auto"/>
              <w:rPr>
                <w:color w:val="000000"/>
                <w:sz w:val="20"/>
                <w:szCs w:val="20"/>
              </w:rPr>
            </w:pPr>
            <w:r w:rsidDel="00000000" w:rsidR="00000000" w:rsidRPr="00000000">
              <w:rPr>
                <w:color w:val="000000"/>
                <w:sz w:val="22"/>
                <w:szCs w:val="22"/>
                <w:rtl w:val="0"/>
              </w:rPr>
              <w:t xml:space="preserve">The bill that was before the Legislature has now incorporated a date of “2525,” and thus appears to be dead at this time. </w:t>
            </w:r>
            <w:r w:rsidDel="00000000" w:rsidR="00000000" w:rsidRPr="00000000">
              <w:rPr>
                <w:rtl w:val="0"/>
              </w:rPr>
            </w:r>
          </w:p>
        </w:tc>
        <w:tc>
          <w:tcPr/>
          <w:p w:rsidR="00000000" w:rsidDel="00000000" w:rsidP="00000000" w:rsidRDefault="00000000" w:rsidRPr="00000000" w14:paraId="00000065">
            <w:pPr>
              <w:pageBreakBefore w:val="0"/>
              <w:spacing w:after="2.4" w:before="2.4" w:lineRule="auto"/>
              <w:rPr>
                <w:sz w:val="20"/>
                <w:szCs w:val="20"/>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66">
            <w:pPr>
              <w:pageBreakBefore w:val="0"/>
              <w:rPr>
                <w:b w:val="1"/>
                <w:sz w:val="22"/>
                <w:szCs w:val="22"/>
              </w:rPr>
            </w:pPr>
            <w:r w:rsidDel="00000000" w:rsidR="00000000" w:rsidRPr="00000000">
              <w:rPr>
                <w:b w:val="1"/>
                <w:sz w:val="22"/>
                <w:szCs w:val="22"/>
                <w:rtl w:val="0"/>
              </w:rPr>
              <w:t xml:space="preserve">Issue 24.14</w:t>
            </w:r>
          </w:p>
        </w:tc>
        <w:tc>
          <w:tcPr/>
          <w:p w:rsidR="00000000" w:rsidDel="00000000" w:rsidP="00000000" w:rsidRDefault="00000000" w:rsidRPr="00000000" w14:paraId="00000067">
            <w:pPr>
              <w:pageBreakBefore w:val="0"/>
              <w:spacing w:after="240" w:before="2.4" w:lineRule="auto"/>
              <w:rPr>
                <w:sz w:val="22"/>
                <w:szCs w:val="22"/>
              </w:rPr>
            </w:pPr>
            <w:r w:rsidDel="00000000" w:rsidR="00000000" w:rsidRPr="00000000">
              <w:rPr>
                <w:sz w:val="22"/>
                <w:szCs w:val="22"/>
                <w:u w:val="single"/>
                <w:rtl w:val="0"/>
              </w:rPr>
              <w:t xml:space="preserve">SAT/ACT for International Admissions</w:t>
            </w:r>
            <w:r w:rsidDel="00000000" w:rsidR="00000000" w:rsidRPr="00000000">
              <w:rPr>
                <w:sz w:val="22"/>
                <w:szCs w:val="22"/>
                <w:rtl w:val="0"/>
              </w:rPr>
              <w:t xml:space="preserve">. It was recommended that a resolution should point out the need to consult the faculty senate when making decisions on this issue rather than criticize actions taken.  No action will be taken until a visit to CAPP by Admissions Director Roxie Shabazz. </w:t>
            </w:r>
          </w:p>
        </w:tc>
        <w:tc>
          <w:tcPr/>
          <w:p w:rsidR="00000000" w:rsidDel="00000000" w:rsidP="00000000" w:rsidRDefault="00000000" w:rsidRPr="00000000" w14:paraId="00000068">
            <w:pPr>
              <w:pageBreakBefore w:val="0"/>
              <w:spacing w:after="2.4" w:before="2.4" w:lineRule="auto"/>
              <w:rPr>
                <w:sz w:val="22"/>
                <w:szCs w:val="22"/>
              </w:rPr>
            </w:pPr>
            <w:r w:rsidDel="00000000" w:rsidR="00000000" w:rsidRPr="00000000">
              <w:rPr>
                <w:sz w:val="22"/>
                <w:szCs w:val="22"/>
                <w:rtl w:val="0"/>
              </w:rPr>
              <w:t xml:space="preserve">Roxie Shabazz, Director of Admissions, invited guest for next CAPP meeting 22 April.</w:t>
            </w:r>
          </w:p>
        </w:tc>
      </w:tr>
      <w:tr>
        <w:trPr>
          <w:cantSplit w:val="0"/>
          <w:trHeight w:val="460" w:hRule="atLeast"/>
          <w:tblHeader w:val="0"/>
        </w:trPr>
        <w:tc>
          <w:tcPr/>
          <w:p w:rsidR="00000000" w:rsidDel="00000000" w:rsidP="00000000" w:rsidRDefault="00000000" w:rsidRPr="00000000" w14:paraId="00000069">
            <w:pPr>
              <w:pageBreakBefore w:val="0"/>
              <w:rPr>
                <w:b w:val="1"/>
                <w:sz w:val="22"/>
                <w:szCs w:val="22"/>
              </w:rPr>
            </w:pPr>
            <w:r w:rsidDel="00000000" w:rsidR="00000000" w:rsidRPr="00000000">
              <w:rPr>
                <w:b w:val="1"/>
                <w:sz w:val="22"/>
                <w:szCs w:val="22"/>
                <w:rtl w:val="0"/>
              </w:rPr>
              <w:t xml:space="preserve">Issue 21.13</w:t>
            </w:r>
          </w:p>
        </w:tc>
        <w:tc>
          <w:tcPr/>
          <w:p w:rsidR="00000000" w:rsidDel="00000000" w:rsidP="00000000" w:rsidRDefault="00000000" w:rsidRPr="00000000" w14:paraId="0000006A">
            <w:pPr>
              <w:pageBreakBefore w:val="0"/>
              <w:rPr>
                <w:sz w:val="22"/>
                <w:szCs w:val="22"/>
              </w:rPr>
            </w:pPr>
            <w:r w:rsidDel="00000000" w:rsidR="00000000" w:rsidRPr="00000000">
              <w:rPr>
                <w:color w:val="000000"/>
                <w:sz w:val="22"/>
                <w:szCs w:val="22"/>
                <w:u w:val="single"/>
                <w:rtl w:val="0"/>
              </w:rPr>
              <w:t xml:space="preserve">Advising students</w:t>
            </w:r>
            <w:r w:rsidDel="00000000" w:rsidR="00000000" w:rsidRPr="00000000">
              <w:rPr>
                <w:color w:val="000000"/>
                <w:sz w:val="22"/>
                <w:szCs w:val="22"/>
                <w:rtl w:val="0"/>
              </w:rPr>
              <w:t xml:space="preserve">. The draft questionnaire/survey was reviewed and several changes were recommended. A list of UHM advisers was distributed and found to be inaccurate. It was decided that the data collected should focus primarily on the 15 to Finish initiative and, given the time remaining in the semester, that a pilot study of  advisers in the arts and sciences colleges rather than all UHM colleges should be conducted. The Chair volunteered to help with revision of the survey instrument.</w:t>
            </w:r>
            <w:r w:rsidDel="00000000" w:rsidR="00000000" w:rsidRPr="00000000">
              <w:rPr>
                <w:rtl w:val="0"/>
              </w:rPr>
            </w:r>
          </w:p>
        </w:tc>
        <w:tc>
          <w:tcPr/>
          <w:p w:rsidR="00000000" w:rsidDel="00000000" w:rsidP="00000000" w:rsidRDefault="00000000" w:rsidRPr="00000000" w14:paraId="0000006B">
            <w:pPr>
              <w:pageBreakBefore w:val="0"/>
              <w:rPr>
                <w:sz w:val="22"/>
                <w:szCs w:val="22"/>
              </w:rPr>
            </w:pPr>
            <w:r w:rsidDel="00000000" w:rsidR="00000000" w:rsidRPr="00000000">
              <w:rPr>
                <w:sz w:val="22"/>
                <w:szCs w:val="22"/>
                <w:rtl w:val="0"/>
              </w:rPr>
              <w:t xml:space="preserve">Fata and Rosie will work to revise survey and interview list so as to be ready to conduct interviews.</w:t>
            </w:r>
          </w:p>
        </w:tc>
      </w:tr>
      <w:tr>
        <w:trPr>
          <w:cantSplit w:val="0"/>
          <w:trHeight w:val="460" w:hRule="atLeast"/>
          <w:tblHeader w:val="0"/>
        </w:trPr>
        <w:tc>
          <w:tcPr/>
          <w:p w:rsidR="00000000" w:rsidDel="00000000" w:rsidP="00000000" w:rsidRDefault="00000000" w:rsidRPr="00000000" w14:paraId="0000006C">
            <w:pPr>
              <w:pageBreakBefore w:val="0"/>
              <w:rPr>
                <w:b w:val="1"/>
                <w:sz w:val="22"/>
                <w:szCs w:val="22"/>
              </w:rPr>
            </w:pPr>
            <w:r w:rsidDel="00000000" w:rsidR="00000000" w:rsidRPr="00000000">
              <w:rPr>
                <w:b w:val="1"/>
                <w:sz w:val="22"/>
                <w:szCs w:val="22"/>
                <w:rtl w:val="0"/>
              </w:rPr>
              <w:t xml:space="preserve">Issue 13.14</w:t>
            </w:r>
          </w:p>
        </w:tc>
        <w:tc>
          <w:tcPr/>
          <w:p w:rsidR="00000000" w:rsidDel="00000000" w:rsidP="00000000" w:rsidRDefault="00000000" w:rsidRPr="00000000" w14:paraId="0000006D">
            <w:pPr>
              <w:pageBreakBefore w:val="0"/>
              <w:rPr>
                <w:sz w:val="22"/>
                <w:szCs w:val="22"/>
              </w:rPr>
            </w:pPr>
            <w:r w:rsidDel="00000000" w:rsidR="00000000" w:rsidRPr="00000000">
              <w:rPr>
                <w:sz w:val="22"/>
                <w:szCs w:val="22"/>
                <w:u w:val="single"/>
                <w:rtl w:val="0"/>
              </w:rPr>
              <w:t xml:space="preserve">Kuali Curriculum Management System</w:t>
            </w:r>
            <w:r w:rsidDel="00000000" w:rsidR="00000000" w:rsidRPr="00000000">
              <w:rPr>
                <w:sz w:val="22"/>
                <w:szCs w:val="22"/>
                <w:rtl w:val="0"/>
              </w:rPr>
              <w:t xml:space="preserve">.  No action at this time. There were no volunteers to attend next system meeting.  </w:t>
            </w:r>
          </w:p>
        </w:tc>
        <w:tc>
          <w:tcPr/>
          <w:p w:rsidR="00000000" w:rsidDel="00000000" w:rsidP="00000000" w:rsidRDefault="00000000" w:rsidRPr="00000000" w14:paraId="0000006E">
            <w:pPr>
              <w:pageBreakBefore w:val="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6F">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70">
            <w:pPr>
              <w:pageBreakBefore w:val="0"/>
              <w:rPr>
                <w:sz w:val="22"/>
                <w:szCs w:val="22"/>
              </w:rPr>
            </w:pPr>
            <w:r w:rsidDel="00000000" w:rsidR="00000000" w:rsidRPr="00000000">
              <w:rPr>
                <w:rtl w:val="0"/>
              </w:rPr>
            </w:r>
          </w:p>
        </w:tc>
        <w:tc>
          <w:tcPr/>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meeting was adjourned at 1:00 p.m.</w:t>
            </w:r>
          </w:p>
        </w:tc>
        <w:tc>
          <w:tcPr/>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Next meeting: 22 April 2015.</w:t>
            </w:r>
          </w:p>
        </w:tc>
      </w:tr>
    </w:tbl>
    <w:p w:rsidR="00000000" w:rsidDel="00000000" w:rsidP="00000000" w:rsidRDefault="00000000" w:rsidRPr="00000000" w14:paraId="00000073">
      <w:pPr>
        <w:pageBreakBefore w:val="0"/>
        <w:rPr>
          <w:sz w:val="22"/>
          <w:szCs w:val="22"/>
        </w:rPr>
      </w:pPr>
      <w:r w:rsidDel="00000000" w:rsidR="00000000" w:rsidRPr="00000000">
        <w:rPr>
          <w:rtl w:val="0"/>
        </w:rPr>
      </w:r>
    </w:p>
    <w:p w:rsidR="00000000" w:rsidDel="00000000" w:rsidP="00000000" w:rsidRDefault="00000000" w:rsidRPr="00000000" w14:paraId="00000074">
      <w:pPr>
        <w:pageBreakBefore w:val="0"/>
        <w:rPr>
          <w:sz w:val="22"/>
          <w:szCs w:val="22"/>
        </w:rPr>
      </w:pPr>
      <w:r w:rsidDel="00000000" w:rsidR="00000000" w:rsidRPr="00000000">
        <w:rPr>
          <w:sz w:val="22"/>
          <w:szCs w:val="22"/>
          <w:rtl w:val="0"/>
        </w:rPr>
        <w:t xml:space="preserve">Respectfully submitted by __Rosemarie Woodruff______ </w:t>
      </w:r>
    </w:p>
    <w:p w:rsidR="00000000" w:rsidDel="00000000" w:rsidP="00000000" w:rsidRDefault="00000000" w:rsidRPr="00000000" w14:paraId="00000075">
      <w:pPr>
        <w:pageBreakBefore w:val="0"/>
        <w:rPr>
          <w:sz w:val="22"/>
          <w:szCs w:val="22"/>
        </w:rPr>
      </w:pPr>
      <w:r w:rsidDel="00000000" w:rsidR="00000000" w:rsidRPr="00000000">
        <w:rPr>
          <w:sz w:val="22"/>
          <w:szCs w:val="22"/>
          <w:rtl w:val="0"/>
        </w:rPr>
        <w:t xml:space="preserve">Approved on Date with X votes in favor of approval and X against.</w:t>
      </w:r>
    </w:p>
    <w:p w:rsidR="00000000" w:rsidDel="00000000" w:rsidP="00000000" w:rsidRDefault="00000000" w:rsidRPr="00000000" w14:paraId="00000076">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7A">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-114299</wp:posOffset>
              </wp:positionV>
              <wp:extent cx="4381500" cy="914400"/>
              <wp:effectExtent b="0" l="0" r="0" t="0"/>
              <wp:wrapSquare wrapText="bothSides" distB="0" distT="0" distL="114300" distR="114300"/>
              <wp:docPr id="1" name=""/>
              <a:graphic>
                <a:graphicData uri="http://schemas.microsoft.com/office/word/2010/wordprocessingShape">
                  <wps:wsp>
                    <wps:cNvSpPr/>
                    <wps:cNvPr id="2" name="Shape 2"/>
                    <wps:spPr>
                      <a:xfrm>
                        <a:off x="3154298" y="3322800"/>
                        <a:ext cx="4383405" cy="914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Academic Policy and Planning (CAPP)</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-114299</wp:posOffset>
              </wp:positionV>
              <wp:extent cx="4381500" cy="9144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914400"/>
                      </a:xfrm>
                      <a:prstGeom prst="rect"/>
                      <a:ln/>
                    </pic:spPr>
                  </pic:pic>
                </a:graphicData>
              </a:graphic>
            </wp:anchor>
          </w:drawing>
        </mc:Fallback>
      </mc:AlternateConten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