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Report of Committee on Academic Policy and Planning</w:t>
      </w:r>
    </w:p>
    <w:p w:rsidR="00000000" w:rsidDel="00000000" w:rsidP="00000000" w:rsidRDefault="00000000" w:rsidRPr="00000000" w14:paraId="00000002">
      <w:pPr>
        <w:pageBreakBefore w:val="0"/>
        <w:rPr/>
      </w:pPr>
      <w:r w:rsidDel="00000000" w:rsidR="00000000" w:rsidRPr="00000000">
        <w:rPr>
          <w:rtl w:val="0"/>
        </w:rPr>
        <w:t xml:space="preserve">For the year 2014-2015</w:t>
      </w:r>
    </w:p>
    <w:p w:rsidR="00000000" w:rsidDel="00000000" w:rsidP="00000000" w:rsidRDefault="00000000" w:rsidRPr="00000000" w14:paraId="00000003">
      <w:pPr>
        <w:pageBreakBefore w:val="0"/>
        <w:rPr/>
      </w:pPr>
      <w:r w:rsidDel="00000000" w:rsidR="00000000" w:rsidRPr="00000000">
        <w:rPr>
          <w:rtl w:val="0"/>
        </w:rPr>
        <w:t xml:space="preserve">Submitted by Carolyn Stephenson, Chair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CAPP elected Carolyn Stephenson as Chair, and </w:t>
      </w:r>
      <w:r w:rsidDel="00000000" w:rsidR="00000000" w:rsidRPr="00000000">
        <w:rPr>
          <w:sz w:val="24"/>
          <w:szCs w:val="24"/>
          <w:rtl w:val="0"/>
        </w:rPr>
        <w:t xml:space="preserve">Sai Bhatawadekar as Vice Chair.  Minute taking will rotate alphabetically.  Part of the year the committee met every two weeks, part monthly.  One meeting was cancelled (after being started) due to unexcused absences.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bookmarkStart w:colFirst="0" w:colLast="0" w:name="_gjdgxs" w:id="0"/>
      <w:bookmarkEnd w:id="0"/>
      <w:r w:rsidDel="00000000" w:rsidR="00000000" w:rsidRPr="00000000">
        <w:rPr>
          <w:rtl w:val="0"/>
        </w:rPr>
        <w:t xml:space="preserve">The Committee on Academic Policy and Planning dealt with the following issues during the academic year 2014-2015:</w:t>
      </w:r>
    </w:p>
    <w:p w:rsidR="00000000" w:rsidDel="00000000" w:rsidP="00000000" w:rsidRDefault="00000000" w:rsidRPr="00000000" w14:paraId="00000008">
      <w:pPr>
        <w:pageBreakBefore w:val="0"/>
        <w:rPr/>
      </w:pPr>
      <w:r w:rsidDel="00000000" w:rsidR="00000000" w:rsidRPr="00000000">
        <w:rPr>
          <w:rtl w:val="0"/>
        </w:rPr>
      </w:r>
    </w:p>
    <w:tbl>
      <w:tblPr>
        <w:tblStyle w:val="Table1"/>
        <w:tblW w:w="9576.0" w:type="dxa"/>
        <w:jc w:val="left"/>
        <w:tblInd w:w="-108.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3600"/>
        <w:gridCol w:w="4878"/>
        <w:tblGridChange w:id="0">
          <w:tblGrid>
            <w:gridCol w:w="1098"/>
            <w:gridCol w:w="3600"/>
            <w:gridCol w:w="4878"/>
          </w:tblGrid>
        </w:tblGridChange>
      </w:tblGrid>
      <w:tr>
        <w:trPr>
          <w:cantSplit w:val="0"/>
          <w:tblHeader w:val="0"/>
        </w:trPr>
        <w:tc>
          <w:tcPr>
            <w:tcBorders>
              <w:top w:color="000000" w:space="0" w:sz="0" w:val="nil"/>
              <w:bottom w:color="000000" w:space="0" w:sz="4" w:val="single"/>
            </w:tcBorders>
          </w:tcPr>
          <w:p w:rsidR="00000000" w:rsidDel="00000000" w:rsidP="00000000" w:rsidRDefault="00000000" w:rsidRPr="00000000" w14:paraId="00000009">
            <w:pPr>
              <w:pageBreakBefore w:val="0"/>
              <w:rPr>
                <w:b w:val="1"/>
              </w:rPr>
            </w:pPr>
            <w:r w:rsidDel="00000000" w:rsidR="00000000" w:rsidRPr="00000000">
              <w:rPr>
                <w:b w:val="1"/>
                <w:rtl w:val="0"/>
              </w:rPr>
              <w:t xml:space="preserve">Issue #</w:t>
            </w:r>
          </w:p>
        </w:tc>
        <w:tc>
          <w:tcPr>
            <w:tcBorders>
              <w:top w:color="000000" w:space="0" w:sz="0" w:val="nil"/>
              <w:bottom w:color="000000" w:space="0" w:sz="4" w:val="single"/>
            </w:tcBorders>
          </w:tcPr>
          <w:p w:rsidR="00000000" w:rsidDel="00000000" w:rsidP="00000000" w:rsidRDefault="00000000" w:rsidRPr="00000000" w14:paraId="0000000A">
            <w:pPr>
              <w:pageBreakBefore w:val="0"/>
              <w:rPr>
                <w:b w:val="1"/>
              </w:rPr>
            </w:pPr>
            <w:r w:rsidDel="00000000" w:rsidR="00000000" w:rsidRPr="00000000">
              <w:rPr>
                <w:b w:val="1"/>
                <w:rtl w:val="0"/>
              </w:rPr>
              <w:t xml:space="preserve">Name</w:t>
              <w:tab/>
            </w:r>
          </w:p>
        </w:tc>
        <w:tc>
          <w:tcPr>
            <w:tcBorders>
              <w:top w:color="000000" w:space="0" w:sz="0" w:val="nil"/>
              <w:bottom w:color="000000" w:space="0" w:sz="4" w:val="single"/>
            </w:tcBorders>
          </w:tcPr>
          <w:p w:rsidR="00000000" w:rsidDel="00000000" w:rsidP="00000000" w:rsidRDefault="00000000" w:rsidRPr="00000000" w14:paraId="0000000B">
            <w:pPr>
              <w:pageBreakBefore w:val="0"/>
              <w:rPr>
                <w:b w:val="1"/>
              </w:rPr>
            </w:pPr>
            <w:r w:rsidDel="00000000" w:rsidR="00000000" w:rsidRPr="00000000">
              <w:rPr>
                <w:b w:val="1"/>
                <w:rtl w:val="0"/>
              </w:rPr>
              <w:t xml:space="preserve">Action</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0C">
            <w:pPr>
              <w:pageBreakBefore w:val="0"/>
              <w:rPr/>
            </w:pPr>
            <w:r w:rsidDel="00000000" w:rsidR="00000000" w:rsidRPr="00000000">
              <w:rPr>
                <w:rtl w:val="0"/>
              </w:rPr>
              <w:t xml:space="preserve">4.15</w:t>
              <w:tab/>
            </w:r>
          </w:p>
        </w:tc>
        <w:tc>
          <w:tcPr>
            <w:tcBorders>
              <w:top w:color="000000" w:space="0" w:sz="4" w:val="single"/>
              <w:bottom w:color="000000" w:space="0" w:sz="4" w:val="single"/>
            </w:tcBorders>
          </w:tcPr>
          <w:p w:rsidR="00000000" w:rsidDel="00000000" w:rsidP="00000000" w:rsidRDefault="00000000" w:rsidRPr="00000000" w14:paraId="0000000D">
            <w:pPr>
              <w:pageBreakBefore w:val="0"/>
              <w:rPr/>
            </w:pPr>
            <w:r w:rsidDel="00000000" w:rsidR="00000000" w:rsidRPr="00000000">
              <w:rPr>
                <w:rtl w:val="0"/>
              </w:rPr>
              <w:t xml:space="preserve">Prior Learning Assessment</w:t>
            </w:r>
          </w:p>
        </w:tc>
        <w:tc>
          <w:tcPr>
            <w:tcBorders>
              <w:top w:color="000000" w:space="0" w:sz="4" w:val="single"/>
              <w:bottom w:color="000000" w:space="0" w:sz="4" w:val="single"/>
            </w:tcBorders>
          </w:tcPr>
          <w:p w:rsidR="00000000" w:rsidDel="00000000" w:rsidP="00000000" w:rsidRDefault="00000000" w:rsidRPr="00000000" w14:paraId="0000000E">
            <w:pPr>
              <w:pageBreakBefore w:val="0"/>
              <w:rPr/>
            </w:pPr>
            <w:r w:rsidDel="00000000" w:rsidR="00000000" w:rsidRPr="00000000">
              <w:rPr>
                <w:rtl w:val="0"/>
              </w:rPr>
              <w:t xml:space="preserve">Determined bill before legislature is dead, so no action needed.</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0F">
            <w:pPr>
              <w:pageBreakBefore w:val="0"/>
              <w:rPr/>
            </w:pPr>
            <w:r w:rsidDel="00000000" w:rsidR="00000000" w:rsidRPr="00000000">
              <w:rPr>
                <w:rtl w:val="0"/>
              </w:rPr>
              <w:t xml:space="preserve">9.13</w:t>
            </w:r>
          </w:p>
        </w:tc>
        <w:tc>
          <w:tcPr>
            <w:tcBorders>
              <w:top w:color="000000" w:space="0" w:sz="4" w:val="single"/>
              <w:bottom w:color="000000" w:space="0" w:sz="4" w:val="single"/>
            </w:tcBorders>
          </w:tcPr>
          <w:p w:rsidR="00000000" w:rsidDel="00000000" w:rsidP="00000000" w:rsidRDefault="00000000" w:rsidRPr="00000000" w14:paraId="00000010">
            <w:pPr>
              <w:pageBreakBefore w:val="0"/>
              <w:rPr/>
            </w:pPr>
            <w:r w:rsidDel="00000000" w:rsidR="00000000" w:rsidRPr="00000000">
              <w:rPr>
                <w:rtl w:val="0"/>
              </w:rPr>
              <w:t xml:space="preserve">Interdisciplinary Studies</w:t>
            </w:r>
          </w:p>
        </w:tc>
        <w:tc>
          <w:tcPr>
            <w:tcBorders>
              <w:top w:color="000000" w:space="0" w:sz="4" w:val="single"/>
              <w:bottom w:color="000000" w:space="0" w:sz="4" w:val="single"/>
            </w:tcBorders>
          </w:tcPr>
          <w:p w:rsidR="00000000" w:rsidDel="00000000" w:rsidP="00000000" w:rsidRDefault="00000000" w:rsidRPr="00000000" w14:paraId="00000011">
            <w:pPr>
              <w:pageBreakBefore w:val="0"/>
              <w:rPr/>
            </w:pPr>
            <w:r w:rsidDel="00000000" w:rsidR="00000000" w:rsidRPr="00000000">
              <w:rPr>
                <w:rtl w:val="0"/>
              </w:rPr>
              <w:t xml:space="preserve">Extensive discussion of ways to improve the overall management of interdisciplinary studies, incl. but not limited to IS Office; memos exchanged and info/data collected on IS Office; researched other campuses, no conclusions on how to be more effective.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12">
            <w:pPr>
              <w:pageBreakBefore w:val="0"/>
              <w:rPr/>
            </w:pPr>
            <w:r w:rsidDel="00000000" w:rsidR="00000000" w:rsidRPr="00000000">
              <w:rPr>
                <w:rtl w:val="0"/>
              </w:rPr>
              <w:t xml:space="preserve">12.13</w:t>
            </w:r>
          </w:p>
        </w:tc>
        <w:tc>
          <w:tcPr>
            <w:tcBorders>
              <w:top w:color="000000" w:space="0" w:sz="4" w:val="single"/>
              <w:bottom w:color="000000" w:space="0" w:sz="4" w:val="single"/>
            </w:tcBorders>
          </w:tcPr>
          <w:p w:rsidR="00000000" w:rsidDel="00000000" w:rsidP="00000000" w:rsidRDefault="00000000" w:rsidRPr="00000000" w14:paraId="00000013">
            <w:pPr>
              <w:pageBreakBefore w:val="0"/>
              <w:rPr/>
            </w:pPr>
            <w:r w:rsidDel="00000000" w:rsidR="00000000" w:rsidRPr="00000000">
              <w:rPr>
                <w:rtl w:val="0"/>
              </w:rPr>
              <w:t xml:space="preserve">Admissions for Transfers</w:t>
            </w:r>
          </w:p>
        </w:tc>
        <w:tc>
          <w:tcPr>
            <w:tcBorders>
              <w:top w:color="000000" w:space="0" w:sz="4" w:val="single"/>
              <w:bottom w:color="000000" w:space="0" w:sz="4" w:val="single"/>
            </w:tcBorders>
          </w:tcPr>
          <w:p w:rsidR="00000000" w:rsidDel="00000000" w:rsidP="00000000" w:rsidRDefault="00000000" w:rsidRPr="00000000" w14:paraId="00000014">
            <w:pPr>
              <w:pageBreakBefore w:val="0"/>
              <w:rPr/>
            </w:pPr>
            <w:r w:rsidDel="00000000" w:rsidR="00000000" w:rsidRPr="00000000">
              <w:rPr>
                <w:rtl w:val="0"/>
              </w:rPr>
              <w:t xml:space="preserve">Tabled, as issue of 2.0 v. 2.5 GPA determined to be articulation issue.</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15">
            <w:pPr>
              <w:pageBreakBefore w:val="0"/>
              <w:rPr/>
            </w:pPr>
            <w:r w:rsidDel="00000000" w:rsidR="00000000" w:rsidRPr="00000000">
              <w:rPr>
                <w:rtl w:val="0"/>
              </w:rPr>
              <w:t xml:space="preserve">13.14</w:t>
            </w:r>
          </w:p>
        </w:tc>
        <w:tc>
          <w:tcPr>
            <w:tcBorders>
              <w:top w:color="000000" w:space="0" w:sz="4" w:val="single"/>
              <w:bottom w:color="000000" w:space="0" w:sz="4" w:val="single"/>
            </w:tcBorders>
          </w:tcPr>
          <w:p w:rsidR="00000000" w:rsidDel="00000000" w:rsidP="00000000" w:rsidRDefault="00000000" w:rsidRPr="00000000" w14:paraId="00000016">
            <w:pPr>
              <w:pageBreakBefore w:val="0"/>
              <w:rPr/>
            </w:pPr>
            <w:r w:rsidDel="00000000" w:rsidR="00000000" w:rsidRPr="00000000">
              <w:rPr>
                <w:rtl w:val="0"/>
              </w:rPr>
              <w:t xml:space="preserve">Kuali Curriculum Management</w:t>
            </w:r>
          </w:p>
        </w:tc>
        <w:tc>
          <w:tcPr>
            <w:tcBorders>
              <w:top w:color="000000" w:space="0" w:sz="4" w:val="single"/>
              <w:bottom w:color="000000" w:space="0" w:sz="4" w:val="single"/>
            </w:tcBorders>
          </w:tcPr>
          <w:p w:rsidR="00000000" w:rsidDel="00000000" w:rsidP="00000000" w:rsidRDefault="00000000" w:rsidRPr="00000000" w14:paraId="00000017">
            <w:pPr>
              <w:pageBreakBefore w:val="0"/>
              <w:rPr/>
            </w:pPr>
            <w:r w:rsidDel="00000000" w:rsidR="00000000" w:rsidRPr="00000000">
              <w:rPr>
                <w:rtl w:val="0"/>
              </w:rPr>
              <w:t xml:space="preserve">Monitored in cooperation with April Goodwin of VCAA office; Recommend continue monitor next year.</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18">
            <w:pPr>
              <w:pageBreakBefore w:val="0"/>
              <w:rPr/>
            </w:pPr>
            <w:r w:rsidDel="00000000" w:rsidR="00000000" w:rsidRPr="00000000">
              <w:rPr>
                <w:rtl w:val="0"/>
              </w:rPr>
              <w:t xml:space="preserve">13.15</w:t>
            </w:r>
          </w:p>
        </w:tc>
        <w:tc>
          <w:tcPr>
            <w:tcBorders>
              <w:top w:color="000000" w:space="0" w:sz="4" w:val="single"/>
              <w:bottom w:color="000000" w:space="0" w:sz="4" w:val="single"/>
            </w:tcBorders>
          </w:tcPr>
          <w:p w:rsidR="00000000" w:rsidDel="00000000" w:rsidP="00000000" w:rsidRDefault="00000000" w:rsidRPr="00000000" w14:paraId="00000019">
            <w:pPr>
              <w:pageBreakBefore w:val="0"/>
              <w:rPr/>
            </w:pPr>
            <w:r w:rsidDel="00000000" w:rsidR="00000000" w:rsidRPr="00000000">
              <w:rPr>
                <w:rtl w:val="0"/>
              </w:rPr>
              <w:t xml:space="preserve">Dual Credit bill</w:t>
            </w:r>
          </w:p>
        </w:tc>
        <w:tc>
          <w:tcPr>
            <w:tcBorders>
              <w:top w:color="000000" w:space="0" w:sz="4" w:val="single"/>
              <w:bottom w:color="000000" w:space="0" w:sz="4" w:val="single"/>
            </w:tcBorders>
          </w:tcPr>
          <w:p w:rsidR="00000000" w:rsidDel="00000000" w:rsidP="00000000" w:rsidRDefault="00000000" w:rsidRPr="00000000" w14:paraId="0000001A">
            <w:pPr>
              <w:pageBreakBefore w:val="0"/>
              <w:rPr/>
            </w:pPr>
            <w:r w:rsidDel="00000000" w:rsidR="00000000" w:rsidRPr="00000000">
              <w:rPr>
                <w:rtl w:val="0"/>
              </w:rPr>
              <w:t xml:space="preserve">Informed SEC that we agreed that dual credit extension to high school freshmen and sophomores was not appropriate.  Cooney letter to Governor.</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1B">
            <w:pPr>
              <w:pageBreakBefore w:val="0"/>
              <w:rPr/>
            </w:pPr>
            <w:r w:rsidDel="00000000" w:rsidR="00000000" w:rsidRPr="00000000">
              <w:rPr>
                <w:rtl w:val="0"/>
              </w:rPr>
              <w:t xml:space="preserve">18.13</w:t>
            </w:r>
          </w:p>
        </w:tc>
        <w:tc>
          <w:tcPr>
            <w:tcBorders>
              <w:top w:color="000000" w:space="0" w:sz="4" w:val="single"/>
              <w:bottom w:color="000000" w:space="0" w:sz="4" w:val="single"/>
            </w:tcBorders>
          </w:tcPr>
          <w:p w:rsidR="00000000" w:rsidDel="00000000" w:rsidP="00000000" w:rsidRDefault="00000000" w:rsidRPr="00000000" w14:paraId="0000001C">
            <w:pPr>
              <w:pageBreakBefore w:val="0"/>
              <w:rPr/>
            </w:pPr>
            <w:r w:rsidDel="00000000" w:rsidR="00000000" w:rsidRPr="00000000">
              <w:rPr>
                <w:rtl w:val="0"/>
              </w:rPr>
              <w:t xml:space="preserve">Quantitative Reasoning</w:t>
            </w:r>
          </w:p>
        </w:tc>
        <w:tc>
          <w:tcPr>
            <w:tcBorders>
              <w:top w:color="000000" w:space="0" w:sz="4" w:val="single"/>
              <w:bottom w:color="000000" w:space="0" w:sz="4" w:val="single"/>
            </w:tcBorders>
          </w:tcPr>
          <w:p w:rsidR="00000000" w:rsidDel="00000000" w:rsidP="00000000" w:rsidRDefault="00000000" w:rsidRPr="00000000" w14:paraId="0000001D">
            <w:pPr>
              <w:pageBreakBefore w:val="0"/>
              <w:rPr/>
            </w:pPr>
            <w:r w:rsidDel="00000000" w:rsidR="00000000" w:rsidRPr="00000000">
              <w:rPr>
                <w:rtl w:val="0"/>
              </w:rPr>
              <w:t xml:space="preserve">Revised SEC resolution recommending acceptance of change to Quantitative Reasoning from Symbolic Reasoning to the following,</w:t>
            </w:r>
            <w:r w:rsidDel="00000000" w:rsidR="00000000" w:rsidRPr="00000000">
              <w:rPr>
                <w:sz w:val="24"/>
                <w:szCs w:val="24"/>
                <w:rtl w:val="0"/>
              </w:rPr>
              <w:t xml:space="preserve"> “ the Manoa Faculty Senate recommends that the current Foundations Symbolic Reasoning General Education core requirement be replaced by a Foundations Quantitative Reasoning General Education core requirement to be implemented with the Fall 2018 Freshman class.”  This was sent to SEC and Senate</w:t>
            </w: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1E">
            <w:pPr>
              <w:pageBreakBefore w:val="0"/>
              <w:rPr/>
            </w:pPr>
            <w:r w:rsidDel="00000000" w:rsidR="00000000" w:rsidRPr="00000000">
              <w:rPr>
                <w:rtl w:val="0"/>
              </w:rPr>
              <w:t xml:space="preserve">21.13</w:t>
            </w:r>
          </w:p>
        </w:tc>
        <w:tc>
          <w:tcPr>
            <w:tcBorders>
              <w:top w:color="000000" w:space="0" w:sz="4" w:val="single"/>
            </w:tcBorders>
          </w:tcPr>
          <w:p w:rsidR="00000000" w:rsidDel="00000000" w:rsidP="00000000" w:rsidRDefault="00000000" w:rsidRPr="00000000" w14:paraId="0000001F">
            <w:pPr>
              <w:pageBreakBefore w:val="0"/>
              <w:rPr/>
            </w:pPr>
            <w:r w:rsidDel="00000000" w:rsidR="00000000" w:rsidRPr="00000000">
              <w:rPr>
                <w:rtl w:val="0"/>
              </w:rPr>
              <w:t xml:space="preserve">Advising Students</w:t>
            </w:r>
          </w:p>
        </w:tc>
        <w:tc>
          <w:tcPr>
            <w:tcBorders>
              <w:top w:color="000000" w:space="0" w:sz="4" w:val="single"/>
            </w:tcBorders>
          </w:tcPr>
          <w:p w:rsidR="00000000" w:rsidDel="00000000" w:rsidP="00000000" w:rsidRDefault="00000000" w:rsidRPr="00000000" w14:paraId="00000020">
            <w:pPr>
              <w:pageBreakBefore w:val="0"/>
              <w:rPr/>
            </w:pPr>
            <w:r w:rsidDel="00000000" w:rsidR="00000000" w:rsidRPr="00000000">
              <w:rPr>
                <w:rtl w:val="0"/>
              </w:rPr>
              <w:t xml:space="preserve">Questionnaire developed and administered to A&amp;S advisors re advising on Fifteen to Finish.</w:t>
            </w:r>
          </w:p>
        </w:tc>
      </w:tr>
      <w:tr>
        <w:trPr>
          <w:cantSplit w:val="0"/>
          <w:tblHeader w:val="0"/>
        </w:trPr>
        <w:tc>
          <w:tcPr>
            <w:tcBorders>
              <w:bottom w:color="000000" w:space="0" w:sz="4" w:val="single"/>
            </w:tcBorders>
          </w:tcPr>
          <w:p w:rsidR="00000000" w:rsidDel="00000000" w:rsidP="00000000" w:rsidRDefault="00000000" w:rsidRPr="00000000" w14:paraId="00000021">
            <w:pPr>
              <w:pageBreakBefore w:val="0"/>
              <w:rPr/>
            </w:pPr>
            <w:r w:rsidDel="00000000" w:rsidR="00000000" w:rsidRPr="00000000">
              <w:rPr>
                <w:rtl w:val="0"/>
              </w:rPr>
              <w:t xml:space="preserve">24.14</w:t>
            </w:r>
          </w:p>
        </w:tc>
        <w:tc>
          <w:tcPr>
            <w:tcBorders>
              <w:bottom w:color="000000" w:space="0" w:sz="4" w:val="single"/>
            </w:tcBorders>
          </w:tcPr>
          <w:p w:rsidR="00000000" w:rsidDel="00000000" w:rsidP="00000000" w:rsidRDefault="00000000" w:rsidRPr="00000000" w14:paraId="00000022">
            <w:pPr>
              <w:pageBreakBefore w:val="0"/>
              <w:rPr/>
            </w:pPr>
            <w:r w:rsidDel="00000000" w:rsidR="00000000" w:rsidRPr="00000000">
              <w:rPr>
                <w:rtl w:val="0"/>
              </w:rPr>
              <w:t xml:space="preserve">SAT/ACT for International Admissions</w:t>
            </w:r>
          </w:p>
        </w:tc>
        <w:tc>
          <w:tcPr>
            <w:tcBorders>
              <w:bottom w:color="000000" w:space="0" w:sz="4" w:val="single"/>
            </w:tcBorders>
          </w:tcPr>
          <w:p w:rsidR="00000000" w:rsidDel="00000000" w:rsidP="00000000" w:rsidRDefault="00000000" w:rsidRPr="00000000" w14:paraId="00000023">
            <w:pPr>
              <w:pageBreakBefore w:val="0"/>
              <w:rPr/>
            </w:pPr>
            <w:r w:rsidDel="00000000" w:rsidR="00000000" w:rsidRPr="00000000">
              <w:rPr>
                <w:rtl w:val="0"/>
              </w:rPr>
              <w:t xml:space="preserve">Met with Roxie Shabazz, new Director of Admissions, who agreed to rewrite website info and to consult CAPP and SEC with future proposed changes.  Need to monitor next year.</w:t>
            </w:r>
          </w:p>
        </w:tc>
      </w:tr>
      <w:tr>
        <w:trPr>
          <w:cantSplit w:val="0"/>
          <w:tblHeader w:val="0"/>
        </w:trPr>
        <w:tc>
          <w:tcPr>
            <w:tcBorders>
              <w:top w:color="000000" w:space="0" w:sz="4" w:val="single"/>
            </w:tcBorders>
          </w:tcPr>
          <w:p w:rsidR="00000000" w:rsidDel="00000000" w:rsidP="00000000" w:rsidRDefault="00000000" w:rsidRPr="00000000" w14:paraId="00000024">
            <w:pPr>
              <w:pageBreakBefore w:val="0"/>
              <w:rPr/>
            </w:pPr>
            <w:r w:rsidDel="00000000" w:rsidR="00000000" w:rsidRPr="00000000">
              <w:rPr>
                <w:rtl w:val="0"/>
              </w:rPr>
              <w:t xml:space="preserve">26.12</w:t>
            </w:r>
          </w:p>
        </w:tc>
        <w:tc>
          <w:tcPr>
            <w:tcBorders>
              <w:top w:color="000000" w:space="0" w:sz="4" w:val="single"/>
            </w:tcBorders>
          </w:tcPr>
          <w:p w:rsidR="00000000" w:rsidDel="00000000" w:rsidP="00000000" w:rsidRDefault="00000000" w:rsidRPr="00000000" w14:paraId="00000025">
            <w:pPr>
              <w:pageBreakBefore w:val="0"/>
              <w:rPr/>
            </w:pPr>
            <w:r w:rsidDel="00000000" w:rsidR="00000000" w:rsidRPr="00000000">
              <w:rPr>
                <w:rtl w:val="0"/>
              </w:rPr>
              <w:t xml:space="preserve">Undergrad Degree Plan Implementation</w:t>
            </w:r>
          </w:p>
        </w:tc>
        <w:tc>
          <w:tcPr>
            <w:tcBorders>
              <w:top w:color="000000" w:space="0" w:sz="4" w:val="single"/>
            </w:tcBorders>
          </w:tcPr>
          <w:p w:rsidR="00000000" w:rsidDel="00000000" w:rsidP="00000000" w:rsidRDefault="00000000" w:rsidRPr="00000000" w14:paraId="00000026">
            <w:pPr>
              <w:pageBreakBefore w:val="0"/>
              <w:rPr/>
            </w:pPr>
            <w:r w:rsidDel="00000000" w:rsidR="00000000" w:rsidRPr="00000000">
              <w:rPr>
                <w:rtl w:val="0"/>
              </w:rPr>
              <w:t xml:space="preserve">Met with Gary Rodwell of Office of Undergrad Education in OVCAA and determined that data were not available in form useful to CAPP monitoring; tabled.</w:t>
            </w:r>
          </w:p>
        </w:tc>
      </w:tr>
    </w:tbl>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Fonts w:ascii="Calibri" w:cs="Calibri" w:eastAsia="Calibri" w:hAnsi="Calibri"/>
          <w:sz w:val="22"/>
          <w:szCs w:val="22"/>
          <w:rtl w:val="0"/>
        </w:rPr>
        <w:tab/>
        <w:tab/>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