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before="166" w:lineRule="auto"/>
        <w:ind w:left="3540" w:right="30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COMMITTEE ON Academic Policy and Planning</w:t>
      </w:r>
      <w:r w:rsidDel="00000000" w:rsidR="00000000" w:rsidRPr="00000000">
        <w:rPr>
          <w:rtl w:val="0"/>
        </w:rPr>
      </w:r>
    </w:p>
    <w:p w:rsidR="00000000" w:rsidDel="00000000" w:rsidP="00000000" w:rsidRDefault="00000000" w:rsidRPr="00000000" w14:paraId="00000002">
      <w:pPr>
        <w:pageBreakBefore w:val="0"/>
        <w:spacing w:before="12" w:lineRule="auto"/>
        <w:ind w:left="3539" w:right="3047" w:firstLine="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b w:val="1"/>
          <w:sz w:val="22"/>
          <w:szCs w:val="22"/>
          <w:rtl w:val="0"/>
        </w:rPr>
        <w:t xml:space="preserve">M</w:t>
      </w:r>
      <w:r w:rsidDel="00000000" w:rsidR="00000000" w:rsidRPr="00000000">
        <w:rPr>
          <w:rFonts w:ascii="Times New Roman" w:cs="Times New Roman" w:eastAsia="Times New Roman" w:hAnsi="Times New Roman"/>
          <w:b w:val="1"/>
          <w:sz w:val="15"/>
          <w:szCs w:val="15"/>
          <w:rtl w:val="0"/>
        </w:rPr>
        <w:t xml:space="preserve">EETING </w:t>
      </w:r>
      <w:r w:rsidDel="00000000" w:rsidR="00000000" w:rsidRPr="00000000">
        <w:rPr>
          <w:rFonts w:ascii="Times New Roman" w:cs="Times New Roman" w:eastAsia="Times New Roman" w:hAnsi="Times New Roman"/>
          <w:b w:val="1"/>
          <w:sz w:val="22"/>
          <w:szCs w:val="22"/>
          <w:rtl w:val="0"/>
        </w:rPr>
        <w:t xml:space="preserve">M</w:t>
      </w:r>
      <w:r w:rsidDel="00000000" w:rsidR="00000000" w:rsidRPr="00000000">
        <w:rPr>
          <w:rFonts w:ascii="Times New Roman" w:cs="Times New Roman" w:eastAsia="Times New Roman" w:hAnsi="Times New Roman"/>
          <w:b w:val="1"/>
          <w:sz w:val="15"/>
          <w:szCs w:val="15"/>
          <w:rtl w:val="0"/>
        </w:rPr>
        <w:t xml:space="preserve">INUTES</w:t>
      </w:r>
      <w:r w:rsidDel="00000000" w:rsidR="00000000" w:rsidRPr="00000000">
        <w:rPr>
          <w:rtl w:val="0"/>
        </w:rPr>
      </w:r>
    </w:p>
    <w:p w:rsidR="00000000" w:rsidDel="00000000" w:rsidP="00000000" w:rsidRDefault="00000000" w:rsidRPr="00000000" w14:paraId="00000003">
      <w:pPr>
        <w:pageBreakBefore w:val="0"/>
        <w:spacing w:before="11"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ageBreakBefore w:val="0"/>
        <w:tabs>
          <w:tab w:val="left" w:leader="none" w:pos="2879"/>
        </w:tabs>
        <w:spacing w:before="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w:t>
      </w:r>
      <w:r w:rsidDel="00000000" w:rsidR="00000000" w:rsidRPr="00000000">
        <w:rPr>
          <w:rFonts w:ascii="Times New Roman" w:cs="Times New Roman" w:eastAsia="Times New Roman" w:hAnsi="Times New Roman"/>
          <w:b w:val="1"/>
          <w:sz w:val="15"/>
          <w:szCs w:val="15"/>
          <w:rtl w:val="0"/>
        </w:rPr>
        <w:t xml:space="preserve">EETING </w:t>
      </w:r>
      <w:r w:rsidDel="00000000" w:rsidR="00000000" w:rsidRPr="00000000">
        <w:rPr>
          <w:rFonts w:ascii="Times New Roman" w:cs="Times New Roman" w:eastAsia="Times New Roman" w:hAnsi="Times New Roman"/>
          <w:b w:val="1"/>
          <w:sz w:val="22"/>
          <w:szCs w:val="22"/>
          <w:rtl w:val="0"/>
        </w:rPr>
        <w:t xml:space="preserve">D</w:t>
      </w:r>
      <w:r w:rsidDel="00000000" w:rsidR="00000000" w:rsidRPr="00000000">
        <w:rPr>
          <w:rFonts w:ascii="Times New Roman" w:cs="Times New Roman" w:eastAsia="Times New Roman" w:hAnsi="Times New Roman"/>
          <w:b w:val="1"/>
          <w:sz w:val="15"/>
          <w:szCs w:val="15"/>
          <w:rtl w:val="0"/>
        </w:rPr>
        <w:t xml:space="preserve">ATE</w:t>
      </w:r>
      <w:r w:rsidDel="00000000" w:rsidR="00000000" w:rsidRPr="00000000">
        <w:rPr>
          <w:rFonts w:ascii="Times New Roman" w:cs="Times New Roman" w:eastAsia="Times New Roman" w:hAnsi="Times New Roman"/>
          <w:b w:val="1"/>
          <w:sz w:val="22"/>
          <w:szCs w:val="22"/>
          <w:rtl w:val="0"/>
        </w:rPr>
        <w:t xml:space="preserve">:</w:t>
        <w:tab/>
      </w:r>
      <w:r w:rsidDel="00000000" w:rsidR="00000000" w:rsidRPr="00000000">
        <w:rPr>
          <w:rFonts w:ascii="Times New Roman" w:cs="Times New Roman" w:eastAsia="Times New Roman" w:hAnsi="Times New Roman"/>
          <w:sz w:val="22"/>
          <w:szCs w:val="22"/>
          <w:rtl w:val="0"/>
        </w:rPr>
        <w:t xml:space="preserve">January 13, 2016</w:t>
      </w:r>
    </w:p>
    <w:p w:rsidR="00000000" w:rsidDel="00000000" w:rsidP="00000000" w:rsidRDefault="00000000" w:rsidRPr="00000000" w14:paraId="00000005">
      <w:pPr>
        <w:pageBreakBefore w:val="0"/>
        <w:tabs>
          <w:tab w:val="left" w:leader="none" w:pos="2879"/>
        </w:tabs>
        <w:spacing w:before="17"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L</w:t>
      </w:r>
      <w:r w:rsidDel="00000000" w:rsidR="00000000" w:rsidRPr="00000000">
        <w:rPr>
          <w:rFonts w:ascii="Times New Roman" w:cs="Times New Roman" w:eastAsia="Times New Roman" w:hAnsi="Times New Roman"/>
          <w:b w:val="1"/>
          <w:sz w:val="15"/>
          <w:szCs w:val="15"/>
          <w:rtl w:val="0"/>
        </w:rPr>
        <w:t xml:space="preserve">OCATION</w:t>
      </w:r>
      <w:r w:rsidDel="00000000" w:rsidR="00000000" w:rsidRPr="00000000">
        <w:rPr>
          <w:rFonts w:ascii="Times New Roman" w:cs="Times New Roman" w:eastAsia="Times New Roman" w:hAnsi="Times New Roman"/>
          <w:b w:val="1"/>
          <w:sz w:val="22"/>
          <w:szCs w:val="22"/>
          <w:rtl w:val="0"/>
        </w:rPr>
        <w:t xml:space="preserve">:</w:t>
        <w:tab/>
      </w:r>
      <w:r w:rsidDel="00000000" w:rsidR="00000000" w:rsidRPr="00000000">
        <w:rPr>
          <w:rFonts w:ascii="Times New Roman" w:cs="Times New Roman" w:eastAsia="Times New Roman" w:hAnsi="Times New Roman"/>
          <w:sz w:val="22"/>
          <w:szCs w:val="22"/>
          <w:rtl w:val="0"/>
        </w:rPr>
        <w:t xml:space="preserve">215 Edmondson Hall</w:t>
      </w:r>
    </w:p>
    <w:p w:rsidR="00000000" w:rsidDel="00000000" w:rsidP="00000000" w:rsidRDefault="00000000" w:rsidRPr="00000000" w14:paraId="00000006">
      <w:pPr>
        <w:pageBreakBefore w:val="0"/>
        <w:tabs>
          <w:tab w:val="left" w:leader="none" w:pos="2879"/>
        </w:tabs>
        <w:spacing w:before="17"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w:t>
      </w:r>
      <w:r w:rsidDel="00000000" w:rsidR="00000000" w:rsidRPr="00000000">
        <w:rPr>
          <w:rFonts w:ascii="Times New Roman" w:cs="Times New Roman" w:eastAsia="Times New Roman" w:hAnsi="Times New Roman"/>
          <w:b w:val="1"/>
          <w:sz w:val="15"/>
          <w:szCs w:val="15"/>
          <w:rtl w:val="0"/>
        </w:rPr>
        <w:t xml:space="preserve">TTENDANCE</w:t>
      </w:r>
      <w:r w:rsidDel="00000000" w:rsidR="00000000" w:rsidRPr="00000000">
        <w:rPr>
          <w:rFonts w:ascii="Times New Roman" w:cs="Times New Roman" w:eastAsia="Times New Roman" w:hAnsi="Times New Roman"/>
          <w:b w:val="1"/>
          <w:sz w:val="22"/>
          <w:szCs w:val="22"/>
          <w:rtl w:val="0"/>
        </w:rPr>
        <w:t xml:space="preserve">:</w:t>
        <w:tab/>
      </w:r>
      <w:r w:rsidDel="00000000" w:rsidR="00000000" w:rsidRPr="00000000">
        <w:rPr>
          <w:rFonts w:ascii="Times New Roman" w:cs="Times New Roman" w:eastAsia="Times New Roman" w:hAnsi="Times New Roman"/>
          <w:sz w:val="22"/>
          <w:szCs w:val="22"/>
          <w:rtl w:val="0"/>
        </w:rPr>
        <w:t xml:space="preserve">[P = Present; A = Absent; E = Excused]</w:t>
      </w:r>
    </w:p>
    <w:p w:rsidR="00000000" w:rsidDel="00000000" w:rsidP="00000000" w:rsidRDefault="00000000" w:rsidRPr="00000000" w14:paraId="00000007">
      <w:pPr>
        <w:pageBreakBefore w:val="0"/>
        <w:spacing w:before="2" w:line="240" w:lineRule="auto"/>
        <w:rPr>
          <w:rFonts w:ascii="Times New Roman" w:cs="Times New Roman" w:eastAsia="Times New Roman" w:hAnsi="Times New Roman"/>
          <w:sz w:val="23"/>
          <w:szCs w:val="23"/>
        </w:rPr>
      </w:pPr>
      <w:r w:rsidDel="00000000" w:rsidR="00000000" w:rsidRPr="00000000">
        <w:rPr>
          <w:rtl w:val="0"/>
        </w:rPr>
      </w:r>
    </w:p>
    <w:tbl>
      <w:tblPr>
        <w:tblStyle w:val="Table1"/>
        <w:tblW w:w="10996.0" w:type="dxa"/>
        <w:jc w:val="left"/>
        <w:tblInd w:w="591.0" w:type="dxa"/>
        <w:tblLayout w:type="fixed"/>
        <w:tblLook w:val="0000"/>
      </w:tblPr>
      <w:tblGrid>
        <w:gridCol w:w="2363"/>
        <w:gridCol w:w="360"/>
        <w:gridCol w:w="2700"/>
        <w:gridCol w:w="360"/>
        <w:gridCol w:w="2160"/>
        <w:gridCol w:w="360"/>
        <w:gridCol w:w="1890"/>
        <w:gridCol w:w="803"/>
        <w:tblGridChange w:id="0">
          <w:tblGrid>
            <w:gridCol w:w="2363"/>
            <w:gridCol w:w="360"/>
            <w:gridCol w:w="2700"/>
            <w:gridCol w:w="360"/>
            <w:gridCol w:w="2160"/>
            <w:gridCol w:w="360"/>
            <w:gridCol w:w="1890"/>
            <w:gridCol w:w="803"/>
          </w:tblGrid>
        </w:tblGridChange>
      </w:tblGrid>
      <w:tr>
        <w:trPr>
          <w:cantSplit w:val="0"/>
          <w:trHeight w:val="240" w:hRule="atLeast"/>
          <w:tblHeader w:val="0"/>
        </w:trPr>
        <w:tc>
          <w:tcPr>
            <w:gridSpan w:val="2"/>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rHeight w:val="82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2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BHATTACHARYA, Torsha</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18"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JOHNSON, Shannon</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18"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BUTLER, Marguerite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liaison</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Debora Halbert</w:t>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2PM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119" w:right="2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3PM</w:t>
            </w:r>
          </w:p>
        </w:tc>
      </w:tr>
      <w:tr>
        <w:trPr>
          <w:cantSplit w:val="0"/>
          <w:trHeight w:val="48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2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COFFMAN, Makena</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18"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MCKIMMY, Paul</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 Soojin</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20">
            <w:pPr>
              <w:pageBreakBefore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21">
            <w:pPr>
              <w:pageBreakBefore w:val="0"/>
              <w:rPr/>
            </w:pPr>
            <w:r w:rsidDel="00000000" w:rsidR="00000000" w:rsidRPr="00000000">
              <w:rPr>
                <w:rtl w:val="0"/>
              </w:rPr>
            </w:r>
          </w:p>
        </w:tc>
      </w:tr>
      <w:tr>
        <w:trPr>
          <w:cantSplit w:val="0"/>
          <w:trHeight w:val="70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22">
            <w:pPr>
              <w:pageBreakBefore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23">
            <w:pPr>
              <w:pageBreakBefore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18"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IRVINE (SORENSEN),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8"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Christine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27">
            <w:pPr>
              <w:pageBreakBefore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28">
            <w:pPr>
              <w:pageBreakBefore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29">
            <w:pPr>
              <w:pageBreakBefore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2A">
            <w:pPr>
              <w:pageBreakBefore w:val="0"/>
              <w:rPr/>
            </w:pPr>
            <w:r w:rsidDel="00000000" w:rsidR="00000000" w:rsidRPr="00000000">
              <w:rPr>
                <w:rtl w:val="0"/>
              </w:rPr>
            </w:r>
          </w:p>
        </w:tc>
      </w:tr>
      <w:tr>
        <w:trPr>
          <w:cantSplit w:val="0"/>
          <w:trHeight w:val="48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2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ERICSON, David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18"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STEPHENSON, Carolyn</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2F">
            <w:pPr>
              <w:pageBreakBefore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30">
            <w:pPr>
              <w:pageBreakBefore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31">
            <w:pPr>
              <w:pageBreakBefore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32">
            <w:pPr>
              <w:pageBreakBefore w:val="0"/>
              <w:rPr/>
            </w:pPr>
            <w:r w:rsidDel="00000000" w:rsidR="00000000" w:rsidRPr="00000000">
              <w:rPr>
                <w:rtl w:val="0"/>
              </w:rPr>
            </w:r>
          </w:p>
        </w:tc>
      </w:tr>
      <w:tr>
        <w:trPr>
          <w:cantSplit w:val="0"/>
          <w:trHeight w:val="48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2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GOSNELL, William</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18"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WARD, Cynthia</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37">
            <w:pPr>
              <w:pageBreakBefore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38">
            <w:pPr>
              <w:pageBreakBefore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39">
            <w:pPr>
              <w:pageBreakBefore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3A">
            <w:pPr>
              <w:pageBreakBefore w:val="0"/>
              <w:rPr/>
            </w:pPr>
            <w:r w:rsidDel="00000000" w:rsidR="00000000" w:rsidRPr="00000000">
              <w:rPr>
                <w:rtl w:val="0"/>
              </w:rPr>
            </w:r>
          </w:p>
        </w:tc>
      </w:tr>
    </w:tbl>
    <w:p w:rsidR="00000000" w:rsidDel="00000000" w:rsidP="00000000" w:rsidRDefault="00000000" w:rsidRPr="00000000" w14:paraId="0000003B">
      <w:pPr>
        <w:pageBreakBefore w:val="0"/>
        <w:spacing w:before="4" w:line="240" w:lineRule="auto"/>
        <w:rPr>
          <w:rFonts w:ascii="Times New Roman" w:cs="Times New Roman" w:eastAsia="Times New Roman" w:hAnsi="Times New Roman"/>
          <w:sz w:val="23"/>
          <w:szCs w:val="23"/>
        </w:rPr>
      </w:pPr>
      <w:r w:rsidDel="00000000" w:rsidR="00000000" w:rsidRPr="00000000">
        <w:rPr>
          <w:rtl w:val="0"/>
        </w:rPr>
      </w:r>
    </w:p>
    <w:tbl>
      <w:tblPr>
        <w:tblStyle w:val="Table2"/>
        <w:tblW w:w="10726.0" w:type="dxa"/>
        <w:jc w:val="left"/>
        <w:tblInd w:w="591.0" w:type="dxa"/>
        <w:tblLayout w:type="fixed"/>
        <w:tblLook w:val="0000"/>
      </w:tblPr>
      <w:tblGrid>
        <w:gridCol w:w="1913"/>
        <w:gridCol w:w="6300"/>
        <w:gridCol w:w="2513"/>
        <w:tblGridChange w:id="0">
          <w:tblGrid>
            <w:gridCol w:w="1913"/>
            <w:gridCol w:w="6300"/>
            <w:gridCol w:w="2513"/>
          </w:tblGrid>
        </w:tblGridChange>
      </w:tblGrid>
      <w:tr>
        <w:trPr>
          <w:cantSplit w:val="0"/>
          <w:trHeight w:val="48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0" w:lineRule="auto"/>
              <w:ind w:left="118" w:right="12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86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0" w:lineRule="auto"/>
              <w:ind w:left="120" w:right="88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 2:00 p.m.</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40">
            <w:pPr>
              <w:pageBreakBefore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41">
            <w:pPr>
              <w:pageBreakBefore w:val="0"/>
              <w:rPr/>
            </w:pPr>
            <w:r w:rsidDel="00000000" w:rsidR="00000000" w:rsidRPr="00000000">
              <w:rPr>
                <w:rtl w:val="0"/>
              </w:rPr>
            </w:r>
          </w:p>
        </w:tc>
      </w:tr>
      <w:tr>
        <w:trPr>
          <w:cantSplit w:val="0"/>
          <w:trHeight w:val="406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MINUTES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4.15</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119" w:right="15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Christine introduced the issue of prior learning assessment (PLA). Last year, UHMFS and UHM administration made a statement against PLA, while the rest of UH campuses chose to accept. The issue today is that UHM actually IS doing PLA under several auspices (CLEP, AP, International Bach.) Links were sent to CAPP members on current UHM policies.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9" w:right="2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Debora Halbert provided numbers on LLL back credits provided since 2009 and Hawaiian Language since 2012. Manoa grants up to 16 credits, KCC provides 1 year of foreign language credits.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9" w:right="6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Benefits to back credits include getting students placed into appropriate language level courses, without them registering in courses lower than actual proficiency.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Issues include:</w:t>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4C">
            <w:pPr>
              <w:pageBreakBefore w:val="0"/>
              <w:rPr/>
            </w:pPr>
            <w:r w:rsidDel="00000000" w:rsidR="00000000" w:rsidRPr="00000000">
              <w:rPr>
                <w:rtl w:val="0"/>
              </w:rPr>
            </w:r>
          </w:p>
        </w:tc>
      </w:tr>
    </w:tbl>
    <w:p w:rsidR="00000000" w:rsidDel="00000000" w:rsidP="00000000" w:rsidRDefault="00000000" w:rsidRPr="00000000" w14:paraId="0000004D">
      <w:pPr>
        <w:pageBreakBefore w:val="0"/>
        <w:spacing w:after="0" w:lineRule="auto"/>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default"/>
          <w:pgSz w:h="15840" w:w="12240" w:orient="portrait"/>
          <w:pgMar w:bottom="1780" w:top="2340" w:left="0" w:right="50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F">
      <w:pPr>
        <w:pageBreakBefore w:val="0"/>
        <w:spacing w:before="11" w:line="240" w:lineRule="auto"/>
        <w:rPr>
          <w:rFonts w:ascii="Times New Roman" w:cs="Times New Roman" w:eastAsia="Times New Roman" w:hAnsi="Times New Roman"/>
          <w:sz w:val="12"/>
          <w:szCs w:val="12"/>
        </w:rPr>
      </w:pPr>
      <w:r w:rsidDel="00000000" w:rsidR="00000000" w:rsidRPr="00000000">
        <w:rPr>
          <w:rtl w:val="0"/>
        </w:rPr>
      </w:r>
    </w:p>
    <w:tbl>
      <w:tblPr>
        <w:tblStyle w:val="Table3"/>
        <w:tblW w:w="10726.0" w:type="dxa"/>
        <w:jc w:val="left"/>
        <w:tblInd w:w="591.0" w:type="dxa"/>
        <w:tblLayout w:type="fixed"/>
        <w:tblLook w:val="0000"/>
      </w:tblPr>
      <w:tblGrid>
        <w:gridCol w:w="1913"/>
        <w:gridCol w:w="6300"/>
        <w:gridCol w:w="2513"/>
        <w:tblGridChange w:id="0">
          <w:tblGrid>
            <w:gridCol w:w="1913"/>
            <w:gridCol w:w="6300"/>
            <w:gridCol w:w="2513"/>
          </w:tblGrid>
        </w:tblGridChange>
      </w:tblGrid>
      <w:tr>
        <w:trPr>
          <w:cantSplit w:val="0"/>
          <w:trHeight w:val="810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50">
            <w:pPr>
              <w:pageBreakBefore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119" w:right="3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Residency requirement ­ how much of a student’s work should be completed at the institution awarding the degree? (UHM’s is 30 credits currently)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9" w:right="53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Costs ­ why would students not pay for the credits, possibly at a reduced rate?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9" w:right="40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Assessment ­ requires investment and activity, costs are involved Competency­based education (CBE) ­ may allow a student to test out of a portion of a course, but be required to fulfill remaining deficiencies ­ possibly through CBE­based delivery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s>
              <w:spacing w:after="0" w:before="17" w:line="256" w:lineRule="auto"/>
              <w:ind w:left="839" w:right="14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Should we provide for meeting the competency requirement in foreign language?</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s>
              <w:spacing w:after="0" w:before="0" w:line="240" w:lineRule="auto"/>
              <w:ind w:left="839"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Should we provide back credits for prior competency?</w:t>
            </w:r>
          </w:p>
          <w:p w:rsidR="00000000" w:rsidDel="00000000" w:rsidP="00000000" w:rsidRDefault="00000000" w:rsidRPr="00000000" w14:paraId="0000005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59"/>
              </w:tabs>
              <w:spacing w:after="0" w:before="17" w:line="240" w:lineRule="auto"/>
              <w:ind w:left="1559"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many?</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s>
              <w:spacing w:after="0" w:before="17" w:line="240" w:lineRule="auto"/>
              <w:ind w:left="839"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Should we charge fees for back credits?</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9"/>
              </w:tabs>
              <w:spacing w:after="0" w:before="17" w:line="256" w:lineRule="auto"/>
              <w:ind w:left="839" w:right="78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(derivative issue) How might this impact community college agreements?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9" w:right="1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UHM already allows PLA via AP, CLEP, IB, and Foreign language tests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9" w:right="13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Request to talk to Joseph O’Mealy, Kimi Condo­Brown, Hawaiian language faculty, Robert Bly­Vroman, John Morton (may remember history)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2" w:lineRule="auto"/>
              <w:ind w:left="119" w:right="73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 may come up in legislature this year, need to follow. Paul McKimmy will join Christine on the PLA subcommittee</w:t>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61">
            <w:pPr>
              <w:pageBreakBefore w:val="0"/>
              <w:rPr/>
            </w:pPr>
            <w:r w:rsidDel="00000000" w:rsidR="00000000" w:rsidRPr="00000000">
              <w:rPr>
                <w:rtl w:val="0"/>
              </w:rPr>
            </w:r>
          </w:p>
        </w:tc>
      </w:tr>
      <w:tr>
        <w:trPr>
          <w:cantSplit w:val="0"/>
          <w:trHeight w:val="96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62">
            <w:pPr>
              <w:pageBreakBefore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119" w:right="34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Minutes for 12­9­15 edited and approved. 5 support, 3 abstentions Minutes for 1­6­16 edited and approved. 5 support, 3 abstentions</w:t>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64">
            <w:pPr>
              <w:pageBreakBefore w:val="0"/>
              <w:rPr/>
            </w:pPr>
            <w:r w:rsidDel="00000000" w:rsidR="00000000" w:rsidRPr="00000000">
              <w:rPr>
                <w:rtl w:val="0"/>
              </w:rPr>
            </w:r>
          </w:p>
        </w:tc>
      </w:tr>
      <w:tr>
        <w:trPr>
          <w:cantSplit w:val="0"/>
          <w:trHeight w:val="162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0" w:lineRule="auto"/>
              <w:ind w:left="120" w:right="7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Quantitative Reasoning Issue 18.13</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119" w:right="5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QR document developed at joint GEC/CAPP meeting reviewed. Edited title and footnotes. No objections to minor changes.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9" w:right="75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Reviewed resolution and motion to approve (Gosnell) second Coffman. Approved unanimously.</w:t>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69">
            <w:pPr>
              <w:pageBreakBefore w:val="0"/>
              <w:rPr/>
            </w:pPr>
            <w:r w:rsidDel="00000000" w:rsidR="00000000" w:rsidRPr="00000000">
              <w:rPr>
                <w:rtl w:val="0"/>
              </w:rPr>
            </w:r>
          </w:p>
        </w:tc>
      </w:tr>
      <w:tr>
        <w:trPr>
          <w:cantSplit w:val="0"/>
          <w:trHeight w:val="48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6A">
            <w:pPr>
              <w:pageBreakBefore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6B">
            <w:pPr>
              <w:pageBreakBefore w:val="0"/>
              <w:rPr/>
            </w:pPr>
            <w:r w:rsidDel="00000000" w:rsidR="00000000" w:rsidRPr="00000000">
              <w:rPr>
                <w:rtl w:val="0"/>
              </w:rPr>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6C">
            <w:pPr>
              <w:pageBreakBefore w:val="0"/>
              <w:rPr/>
            </w:pPr>
            <w:r w:rsidDel="00000000" w:rsidR="00000000" w:rsidRPr="00000000">
              <w:rPr>
                <w:rtl w:val="0"/>
              </w:rPr>
            </w:r>
          </w:p>
        </w:tc>
      </w:tr>
    </w:tbl>
    <w:p w:rsidR="00000000" w:rsidDel="00000000" w:rsidP="00000000" w:rsidRDefault="00000000" w:rsidRPr="00000000" w14:paraId="0000006D">
      <w:pPr>
        <w:pageBreakBefore w:val="0"/>
        <w:spacing w:after="0" w:lineRule="auto"/>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orient="portrait"/>
          <w:pgMar w:bottom="1780" w:top="2340" w:left="0" w:right="50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6F">
      <w:pPr>
        <w:pageBreakBefore w:val="0"/>
        <w:spacing w:before="11" w:line="240" w:lineRule="auto"/>
        <w:rPr>
          <w:rFonts w:ascii="Times New Roman" w:cs="Times New Roman" w:eastAsia="Times New Roman" w:hAnsi="Times New Roman"/>
          <w:sz w:val="12"/>
          <w:szCs w:val="12"/>
        </w:rPr>
      </w:pPr>
      <w:r w:rsidDel="00000000" w:rsidR="00000000" w:rsidRPr="00000000">
        <w:rPr>
          <w:rtl w:val="0"/>
        </w:rPr>
      </w:r>
    </w:p>
    <w:tbl>
      <w:tblPr>
        <w:tblStyle w:val="Table4"/>
        <w:tblW w:w="10726.0" w:type="dxa"/>
        <w:jc w:val="left"/>
        <w:tblInd w:w="591.0" w:type="dxa"/>
        <w:tblLayout w:type="fixed"/>
        <w:tblLook w:val="0000"/>
      </w:tblPr>
      <w:tblGrid>
        <w:gridCol w:w="1913"/>
        <w:gridCol w:w="6300"/>
        <w:gridCol w:w="2513"/>
        <w:tblGridChange w:id="0">
          <w:tblGrid>
            <w:gridCol w:w="1913"/>
            <w:gridCol w:w="6300"/>
            <w:gridCol w:w="2513"/>
          </w:tblGrid>
        </w:tblGridChange>
      </w:tblGrid>
      <w:tr>
        <w:trPr>
          <w:cantSplit w:val="0"/>
          <w:trHeight w:val="72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0" w:lineRule="auto"/>
              <w:ind w:left="120" w:right="33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Honors Program Issue 3.16</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Closed following passage of resolution at MFS Fall 2015</w:t>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72">
            <w:pPr>
              <w:pageBreakBefore w:val="0"/>
              <w:rPr/>
            </w:pPr>
            <w:r w:rsidDel="00000000" w:rsidR="00000000" w:rsidRPr="00000000">
              <w:rPr>
                <w:rtl w:val="0"/>
              </w:rPr>
            </w:r>
          </w:p>
        </w:tc>
      </w:tr>
      <w:tr>
        <w:trPr>
          <w:cantSplit w:val="0"/>
          <w:trHeight w:val="48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0" w:lineRule="auto"/>
              <w:ind w:left="120" w:right="3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Small Programs Issue 5.16</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Resolution passed at MFS Fall 2015. Continue monitoring.</w:t>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75">
            <w:pPr>
              <w:pageBreakBefore w:val="0"/>
              <w:rPr/>
            </w:pPr>
            <w:r w:rsidDel="00000000" w:rsidR="00000000" w:rsidRPr="00000000">
              <w:rPr>
                <w:rtl w:val="0"/>
              </w:rPr>
            </w:r>
          </w:p>
        </w:tc>
      </w:tr>
      <w:tr>
        <w:trPr>
          <w:cantSplit w:val="0"/>
          <w:trHeight w:val="190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0" w:lineRule="auto"/>
              <w:ind w:left="120" w:right="71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Report from Liaison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119" w:right="1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Marguerite: Advising software program to suggest specific courses for students and would need to opt out if taking something different.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New tuition model being discussed in CAB.</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Assessment systems and assessment of assessment process.</w:t>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7C">
            <w:pPr>
              <w:pageBreakBefore w:val="0"/>
              <w:rPr/>
            </w:pPr>
            <w:r w:rsidDel="00000000" w:rsidR="00000000" w:rsidRPr="00000000">
              <w:rPr>
                <w:rtl w:val="0"/>
              </w:rPr>
            </w:r>
          </w:p>
        </w:tc>
      </w:tr>
      <w:tr>
        <w:trPr>
          <w:cantSplit w:val="0"/>
          <w:trHeight w:val="168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0" w:lineRule="auto"/>
              <w:ind w:left="120" w:right="23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Kuali Curriculum Management Issue 13.14</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20" w:right="67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Streamlining procedures Issue 13.13</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119" w:right="5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Torsha ­  buggy system, provided suggestions. Will continue to monitor.</w:t>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81">
            <w:pPr>
              <w:pageBreakBefore w:val="0"/>
              <w:rPr/>
            </w:pPr>
            <w:r w:rsidDel="00000000" w:rsidR="00000000" w:rsidRPr="00000000">
              <w:rPr>
                <w:rtl w:val="0"/>
              </w:rPr>
            </w:r>
          </w:p>
        </w:tc>
      </w:tr>
      <w:tr>
        <w:trPr>
          <w:cantSplit w:val="0"/>
          <w:trHeight w:val="136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0" w:lineRule="auto"/>
              <w:ind w:left="120" w:right="84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Advising Issue 21.13</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119" w:right="29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Advising students. Liaison reported SEC concerns about new automated advising software (see </w:t>
            </w:r>
            <w:hyperlink r:id="rId8">
              <w:r w:rsidDel="00000000" w:rsidR="00000000" w:rsidRPr="00000000">
                <w:rPr>
                  <w:rFonts w:ascii="Times New Roman" w:cs="Times New Roman" w:eastAsia="Times New Roman" w:hAnsi="Times New Roman"/>
                  <w:b w:val="0"/>
                  <w:i w:val="0"/>
                  <w:smallCaps w:val="0"/>
                  <w:strike w:val="0"/>
                  <w:color w:val="1154cc"/>
                  <w:sz w:val="22"/>
                  <w:szCs w:val="22"/>
                  <w:u w:val="single"/>
                  <w:shd w:fill="auto" w:val="clear"/>
                  <w:vertAlign w:val="baseline"/>
                  <w:rtl w:val="0"/>
                </w:rPr>
                <w:t xml:space="preserve">Civil Beat story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Shannon will look into this. Questions about origin, data on which programming is based, what is the algorithm used, concerns about faculty consultation. CAPP agreed to add this to advising issue.</w:t>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84">
            <w:pPr>
              <w:pageBreakBefore w:val="0"/>
              <w:rPr/>
            </w:pPr>
            <w:r w:rsidDel="00000000" w:rsidR="00000000" w:rsidRPr="00000000">
              <w:rPr>
                <w:rtl w:val="0"/>
              </w:rPr>
            </w:r>
          </w:p>
        </w:tc>
      </w:tr>
      <w:tr>
        <w:trPr>
          <w:cantSplit w:val="0"/>
          <w:trHeight w:val="82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0" w:lineRule="auto"/>
              <w:ind w:left="120" w:right="36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High D/F/I/W course follow­up Issue 23.12</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119" w:right="22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New updated list of courses that are high enrollment courses with high (failure) D/F/I/W grades. Carolyn met with Associate VCAA. Intent to examine causes of high undesirable student outcomes.</w:t>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87">
            <w:pPr>
              <w:pageBreakBefore w:val="0"/>
              <w:rPr/>
            </w:pPr>
            <w:r w:rsidDel="00000000" w:rsidR="00000000" w:rsidRPr="00000000">
              <w:rPr>
                <w:rtl w:val="0"/>
              </w:rPr>
            </w:r>
          </w:p>
        </w:tc>
      </w:tr>
      <w:tr>
        <w:trPr>
          <w:cantSplit w:val="0"/>
          <w:trHeight w:val="60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0" w:lineRule="auto"/>
              <w:ind w:left="120" w:right="84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Plagiarism Issue 54.12</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Inviting Lori Ideta for February.</w:t>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8A">
            <w:pPr>
              <w:pageBreakBefore w:val="0"/>
              <w:rPr/>
            </w:pPr>
            <w:r w:rsidDel="00000000" w:rsidR="00000000" w:rsidRPr="00000000">
              <w:rPr>
                <w:rtl w:val="0"/>
              </w:rPr>
            </w:r>
          </w:p>
        </w:tc>
      </w:tr>
      <w:tr>
        <w:trPr>
          <w:cantSplit w:val="0"/>
          <w:trHeight w:val="82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120" w:right="53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International admissions Issue 24.14</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w:t>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8D">
            <w:pPr>
              <w:pageBreakBefore w:val="0"/>
              <w:rPr/>
            </w:pPr>
            <w:r w:rsidDel="00000000" w:rsidR="00000000" w:rsidRPr="00000000">
              <w:rPr>
                <w:rtl w:val="0"/>
              </w:rPr>
            </w:r>
          </w:p>
        </w:tc>
      </w:tr>
      <w:tr>
        <w:trPr>
          <w:cantSplit w:val="0"/>
          <w:trHeight w:val="600" w:hRule="atLeast"/>
          <w:tblHeader w:val="0"/>
        </w:trPr>
        <w:tc>
          <w:tcPr>
            <w:tcBorders>
              <w:top w:color="000000" w:space="0" w:sz="7" w:val="single"/>
              <w:left w:color="000000" w:space="0" w:sz="0" w:val="nil"/>
              <w:bottom w:color="000000" w:space="0" w:sz="7" w:val="single"/>
              <w:right w:color="000000" w:space="0" w:sz="7"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ADJOURNMENT</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adjourned 4:00 pm</w:t>
            </w:r>
          </w:p>
        </w:tc>
        <w:tc>
          <w:tcPr>
            <w:tcBorders>
              <w:top w:color="000000" w:space="0" w:sz="7" w:val="single"/>
              <w:left w:color="000000" w:space="0" w:sz="7" w:val="single"/>
              <w:bottom w:color="000000" w:space="0" w:sz="7" w:val="single"/>
              <w:right w:color="000000" w:space="0" w:sz="0" w:val="nil"/>
            </w:tcBorders>
          </w:tcPr>
          <w:p w:rsidR="00000000" w:rsidDel="00000000" w:rsidP="00000000" w:rsidRDefault="00000000" w:rsidRPr="00000000" w14:paraId="00000090">
            <w:pPr>
              <w:pageBreakBefore w:val="0"/>
              <w:rPr/>
            </w:pPr>
            <w:r w:rsidDel="00000000" w:rsidR="00000000" w:rsidRPr="00000000">
              <w:rPr>
                <w:rtl w:val="0"/>
              </w:rPr>
            </w:r>
          </w:p>
        </w:tc>
      </w:tr>
    </w:tbl>
    <w:p w:rsidR="00000000" w:rsidDel="00000000" w:rsidP="00000000" w:rsidRDefault="00000000" w:rsidRPr="00000000" w14:paraId="00000091">
      <w:pPr>
        <w:pageBreakBefore w:val="0"/>
        <w:spacing w:before="1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Paul McKimmy.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2­10­16 with 8 votes in favor, 0 against, and 0 absentions.</w:t>
      </w:r>
    </w:p>
    <w:sectPr>
      <w:type w:val="continuous"/>
      <w:pgSz w:h="15840" w:w="12240" w:orient="portrait"/>
      <w:pgMar w:bottom="1780" w:top="2340" w:left="0" w:right="50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pageBreakBefore w:val="0"/>
      <w:spacing w:after="1591" w:before="0" w:line="14"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pageBreakBefore w:val="0"/>
      <w:spacing w:after="0" w:before="270" w:line="14" w:lineRule="auto"/>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4486275</wp:posOffset>
          </wp:positionH>
          <wp:positionV relativeFrom="paragraph">
            <wp:posOffset>171450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009900" cy="3429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590550</wp:posOffset>
          </wp:positionH>
          <wp:positionV relativeFrom="paragraph">
            <wp:posOffset>542925</wp:posOffset>
          </wp:positionV>
          <wp:extent cx="2228850" cy="771525"/>
          <wp:effectExtent b="0" l="0" r="0" t="0"/>
          <wp:wrapSquare wrapText="bothSides" distB="0" distT="0" distL="114300" distR="114300"/>
          <wp:docPr id="3"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2228850" cy="7715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1476375</wp:posOffset>
          </wp:positionV>
          <wp:extent cx="6410325" cy="1905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410325" cy="190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39" w:hanging="359.99999999999994"/>
      </w:pPr>
      <w:rPr>
        <w:rFonts w:ascii="Arial" w:cs="Arial" w:eastAsia="Arial" w:hAnsi="Arial"/>
        <w:sz w:val="22"/>
        <w:szCs w:val="22"/>
      </w:rPr>
    </w:lvl>
    <w:lvl w:ilvl="1">
      <w:start w:val="1"/>
      <w:numFmt w:val="bullet"/>
      <w:lvlText w:val="○"/>
      <w:lvlJc w:val="left"/>
      <w:pPr>
        <w:ind w:left="1559" w:hanging="360"/>
      </w:pPr>
      <w:rPr>
        <w:rFonts w:ascii="Arial" w:cs="Arial" w:eastAsia="Arial" w:hAnsi="Arial"/>
        <w:sz w:val="22"/>
        <w:szCs w:val="22"/>
      </w:rPr>
    </w:lvl>
    <w:lvl w:ilvl="2">
      <w:start w:val="1"/>
      <w:numFmt w:val="bullet"/>
      <w:lvlText w:val="•"/>
      <w:lvlJc w:val="left"/>
      <w:pPr>
        <w:ind w:left="2083" w:hanging="360"/>
      </w:pPr>
      <w:rPr>
        <w:rFonts w:ascii="Arial" w:cs="Arial" w:eastAsia="Arial" w:hAnsi="Arial"/>
      </w:rPr>
    </w:lvl>
    <w:lvl w:ilvl="3">
      <w:start w:val="1"/>
      <w:numFmt w:val="bullet"/>
      <w:lvlText w:val="•"/>
      <w:lvlJc w:val="left"/>
      <w:pPr>
        <w:ind w:left="2608" w:hanging="360"/>
      </w:pPr>
      <w:rPr>
        <w:rFonts w:ascii="Arial" w:cs="Arial" w:eastAsia="Arial" w:hAnsi="Arial"/>
      </w:rPr>
    </w:lvl>
    <w:lvl w:ilvl="4">
      <w:start w:val="1"/>
      <w:numFmt w:val="bullet"/>
      <w:lvlText w:val="•"/>
      <w:lvlJc w:val="left"/>
      <w:pPr>
        <w:ind w:left="3133" w:hanging="360"/>
      </w:pPr>
      <w:rPr>
        <w:rFonts w:ascii="Arial" w:cs="Arial" w:eastAsia="Arial" w:hAnsi="Arial"/>
      </w:rPr>
    </w:lvl>
    <w:lvl w:ilvl="5">
      <w:start w:val="1"/>
      <w:numFmt w:val="bullet"/>
      <w:lvlText w:val="•"/>
      <w:lvlJc w:val="left"/>
      <w:pPr>
        <w:ind w:left="3658" w:hanging="360"/>
      </w:pPr>
      <w:rPr>
        <w:rFonts w:ascii="Arial" w:cs="Arial" w:eastAsia="Arial" w:hAnsi="Arial"/>
      </w:rPr>
    </w:lvl>
    <w:lvl w:ilvl="6">
      <w:start w:val="1"/>
      <w:numFmt w:val="bullet"/>
      <w:lvlText w:val="•"/>
      <w:lvlJc w:val="left"/>
      <w:pPr>
        <w:ind w:left="4183" w:hanging="360"/>
      </w:pPr>
      <w:rPr>
        <w:rFonts w:ascii="Arial" w:cs="Arial" w:eastAsia="Arial" w:hAnsi="Arial"/>
      </w:rPr>
    </w:lvl>
    <w:lvl w:ilvl="7">
      <w:start w:val="1"/>
      <w:numFmt w:val="bullet"/>
      <w:lvlText w:val="•"/>
      <w:lvlJc w:val="left"/>
      <w:pPr>
        <w:ind w:left="4708" w:hanging="360"/>
      </w:pPr>
      <w:rPr>
        <w:rFonts w:ascii="Arial" w:cs="Arial" w:eastAsia="Arial" w:hAnsi="Arial"/>
      </w:rPr>
    </w:lvl>
    <w:lvl w:ilvl="8">
      <w:start w:val="1"/>
      <w:numFmt w:val="bullet"/>
      <w:lvlText w:val="•"/>
      <w:lvlJc w:val="left"/>
      <w:pPr>
        <w:ind w:left="5233"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civilbeat.com/2015/12/university-of-hawaii-seeks-a-speedier-path-to-gradu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jp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