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20,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1875"/>
        <w:gridCol w:w="1275"/>
        <w:tblGridChange w:id="0">
          <w:tblGrid>
            <w:gridCol w:w="2358"/>
            <w:gridCol w:w="270"/>
            <w:gridCol w:w="2280"/>
            <w:gridCol w:w="480"/>
            <w:gridCol w:w="2010"/>
            <w:gridCol w:w="360"/>
            <w:gridCol w:w="1875"/>
            <w:gridCol w:w="1275"/>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Debora Halbert</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2PM to 2:50PM</w:t>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3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20"/>
        <w:gridCol w:w="6330"/>
        <w:gridCol w:w="2520"/>
        <w:tblGridChange w:id="0">
          <w:tblGrid>
            <w:gridCol w:w="1920"/>
            <w:gridCol w:w="633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called meeting to order</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13 minutes approved. 7 yes, 0 no, 2 abstain due to absence.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13 minutes approved</w:t>
            </w:r>
          </w:p>
        </w:tc>
      </w:tr>
      <w:tr>
        <w:trPr>
          <w:cantSplit w:val="0"/>
          <w:trHeight w:val="46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Engagement, Retention and Graduation Action Plan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relayed committee comments on SERG (Student Engagement, Retention and Graduation) report to Reed Dasenbrock, who stated they would be voiced at meeting.  </w:t>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reports Bob Cooney went to meeting on SERG.  Noted faculty there, but not many instructional faculty and not representative of shared governance structure. SEC requests a clear statement of opinion on SERG from CAPP.  One area discussed is definition of “problem” courses - High D/F/W/I.  Differences between D/F and W/I.  </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https://manoa.hawaii.edu/strategicplan/</w:t>
              </w:r>
            </w:hyperlink>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https://manoa.hawaii.edu/strategicplan/</w:t>
              </w:r>
            </w:hyperlink>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https://manoa.hawaii.edu/strategicplan/</w:t>
              </w:r>
            </w:hyperlink>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work-preparation oriented. Not enough emphasis on quality.  Nothing regarding support for faculty.  More focus on international areas in previous strategic plans. Marguerite mentioned need for delineating core programs and areas of excellence. </w:t>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major issue that UH System forcing campus strategic plan adherence to System “strategic directions”.</w:t>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addressed</w:t>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to meet with AVCAA Debora Halbert</w:t>
            </w:r>
            <w:r w:rsidDel="00000000" w:rsidR="00000000" w:rsidRPr="00000000">
              <w:rPr>
                <w:rtl w:val="0"/>
              </w:rPr>
            </w:r>
          </w:p>
        </w:tc>
        <w:tc>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80"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Evaluation from System (CES)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with AVCAA Debora Halbert.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Paul and Christine’s draft resolution on CES was reviewed.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Perhaps need to send letter to MIRO asking for information on response rates for course evaluations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faculty input on content of any course evaluation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Deborah indicated implementation in Fall 2016 is not possible, at best a pilot, earliest would be Spring 2017 and more likely Fall 2017.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SALG - an open access course evaluation form with tiered structure aimed at learning outcomes (assessment of student learning).</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 of clarity on purpose in memo</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 of consultation with senate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UHPA originally said it was a faculty matter, now states it’s a joint matter</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policies make program and faculty review a campus matter, inappropriate from president’s office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Combining evaluation of learning outcomes and teaching effectiveness are not the same and don’t belong in the same tool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of need for consultation with CAPP/MFS and of confusion over evaluation’s purpose.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to write letter to VCAA, AVCAA; requesting notice to President stating deadline is impossible</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2:50 p.m.</w:t>
            </w:r>
            <w:r w:rsidDel="00000000" w:rsidR="00000000" w:rsidRPr="00000000">
              <w:rPr>
                <w:rtl w:val="0"/>
              </w:rPr>
            </w:r>
          </w:p>
        </w:tc>
        <w:tc>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4/27/16 with 8 votes in favor of approval and 0 against.</w:t>
      </w: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9A">
    <w:pPr>
      <w:pageBreakBefore w:val="0"/>
      <w:jc w:val="right"/>
      <w:rPr>
        <w:sz w:val="20"/>
        <w:szCs w:val="20"/>
      </w:rPr>
    </w:pPr>
    <w:r w:rsidDel="00000000" w:rsidR="00000000" w:rsidRPr="00000000">
      <w:rPr>
        <w:sz w:val="20"/>
        <w:szCs w:val="20"/>
        <w:rtl w:val="0"/>
      </w:rPr>
      <w:t xml:space="preserve">2500 Campus Road • Hawaiʻi Hall 208 • Honolulu, Hawai’i 96822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anoa.hawaii.edu/strategicplan/" TargetMode="External"/><Relationship Id="rId7" Type="http://schemas.openxmlformats.org/officeDocument/2006/relationships/hyperlink" Target="https://manoa.hawaii.edu/strategicplan/" TargetMode="External"/><Relationship Id="rId8" Type="http://schemas.openxmlformats.org/officeDocument/2006/relationships/hyperlink" Target="https://manoa.hawaii.edu/strategicpl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