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720" w:firstLine="0"/>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December 29, 2016</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To: </w:t>
        <w:tab/>
        <w:t xml:space="preserve">Mānoa Faculty Senate</w:t>
      </w:r>
    </w:p>
    <w:p w:rsidR="00000000" w:rsidDel="00000000" w:rsidP="00000000" w:rsidRDefault="00000000" w:rsidRPr="00000000" w14:paraId="00000005">
      <w:pPr>
        <w:pageBreakBefore w:val="0"/>
        <w:rPr/>
      </w:pPr>
      <w:r w:rsidDel="00000000" w:rsidR="00000000" w:rsidRPr="00000000">
        <w:rPr>
          <w:rtl w:val="0"/>
        </w:rPr>
        <w:t xml:space="preserve">From: </w:t>
        <w:tab/>
        <w:t xml:space="preserve">William L. Gosnell, Chair</w:t>
      </w:r>
    </w:p>
    <w:p w:rsidR="00000000" w:rsidDel="00000000" w:rsidP="00000000" w:rsidRDefault="00000000" w:rsidRPr="00000000" w14:paraId="00000006">
      <w:pPr>
        <w:pageBreakBefore w:val="0"/>
        <w:rPr/>
      </w:pPr>
      <w:r w:rsidDel="00000000" w:rsidR="00000000" w:rsidRPr="00000000">
        <w:rPr>
          <w:rtl w:val="0"/>
        </w:rPr>
        <w:t xml:space="preserve">Re: </w:t>
        <w:tab/>
        <w:t xml:space="preserve">Committee on Academic Policy and Planning (CAPP) Fall Report 2016</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Committee members included: William L. Gosnell (Chair), Brian Powell (Vice Chair), Jeffrey Ady (Secretary), David Ericson, Willy Kauai, Ulrich Kozok, Joseph Mobley, Cynthia Ward, George Wilkens, Christine Sorensen-Irvine, (SEC Liaison). The Chair thanks the Committee and its officers for their service.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CAPP met on September 7, October 12, November 9 and December 7 of this year.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During the Fall 2016 semester, the CAPP addressed the following issues and items: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5.16</w:t>
        <w:tab/>
        <w:t xml:space="preserve">PROPOSED EXECUTIVE POLICY ON PROGRAMS WITH LOW NUMBER OF DEGREES CONFERRED  </w:t>
      </w:r>
    </w:p>
    <w:p w:rsidR="00000000" w:rsidDel="00000000" w:rsidP="00000000" w:rsidRDefault="00000000" w:rsidRPr="00000000" w14:paraId="00000010">
      <w:pPr>
        <w:pageBreakBefore w:val="0"/>
        <w:rPr/>
      </w:pPr>
      <w:r w:rsidDel="00000000" w:rsidR="00000000" w:rsidRPr="00000000">
        <w:rPr>
          <w:rtl w:val="0"/>
        </w:rPr>
        <w:t xml:space="preserve">A CAPP sub-committee has been formed to draft a document to describe the negative impact the low program list is having on various departments and schools. This document will be presented to the BoR.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16.16</w:t>
        <w:tab/>
        <w:t xml:space="preserve">IMPLEMENTATION OF NEW UH COURSE EVALUATION SYSTEM (CES)</w:t>
      </w:r>
    </w:p>
    <w:p w:rsidR="00000000" w:rsidDel="00000000" w:rsidP="00000000" w:rsidRDefault="00000000" w:rsidRPr="00000000" w14:paraId="00000013">
      <w:pPr>
        <w:pageBreakBefore w:val="0"/>
        <w:rPr/>
      </w:pPr>
      <w:r w:rsidDel="00000000" w:rsidR="00000000" w:rsidRPr="00000000">
        <w:rPr>
          <w:rtl w:val="0"/>
        </w:rPr>
        <w:t xml:space="preserve">CES was opposed by the MFS on May 4, 2016 however, the administration continues to go forward. The Associate Vice Chancellor for Academic Affairs Debbie Halbert met with CAPP to update the committee on the progress of CES at the Dec. 7</w:t>
      </w:r>
      <w:r w:rsidDel="00000000" w:rsidR="00000000" w:rsidRPr="00000000">
        <w:rPr>
          <w:vertAlign w:val="superscript"/>
          <w:rtl w:val="0"/>
        </w:rPr>
        <w:t xml:space="preserve">th</w:t>
      </w:r>
      <w:r w:rsidDel="00000000" w:rsidR="00000000" w:rsidRPr="00000000">
        <w:rPr>
          <w:rtl w:val="0"/>
        </w:rPr>
        <w:t xml:space="preserve"> meeting. Past CAPP Chair Carolyn Stephenson as also a guest for the Dec. 7</w:t>
      </w:r>
      <w:r w:rsidDel="00000000" w:rsidR="00000000" w:rsidRPr="00000000">
        <w:rPr>
          <w:vertAlign w:val="superscript"/>
          <w:rtl w:val="0"/>
        </w:rPr>
        <w:t xml:space="preserve">th</w:t>
      </w:r>
      <w:r w:rsidDel="00000000" w:rsidR="00000000" w:rsidRPr="00000000">
        <w:rPr>
          <w:rtl w:val="0"/>
        </w:rPr>
        <w:t xml:space="preserve"> meeting to provide background information on CAPP’s involvement the previous year. CAPP continues to follow this issue.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23.12</w:t>
        <w:tab/>
        <w:t xml:space="preserve">HIGH DFIW COURSE FOLLOW-UP</w:t>
      </w:r>
    </w:p>
    <w:p w:rsidR="00000000" w:rsidDel="00000000" w:rsidP="00000000" w:rsidRDefault="00000000" w:rsidRPr="00000000" w14:paraId="00000016">
      <w:pPr>
        <w:pageBreakBefore w:val="0"/>
        <w:rPr/>
      </w:pPr>
      <w:r w:rsidDel="00000000" w:rsidR="00000000" w:rsidRPr="00000000">
        <w:rPr>
          <w:rtl w:val="0"/>
        </w:rPr>
        <w:t xml:space="preserve">A CAPP sub-committee has been formed to decide the committees’ next steps on this issue.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54.12</w:t>
        <w:tab/>
        <w:t xml:space="preserve">POLICY PROPOSAL - GRADE REPLACEMENT POLICY TASK FORCE </w:t>
      </w:r>
    </w:p>
    <w:p w:rsidR="00000000" w:rsidDel="00000000" w:rsidP="00000000" w:rsidRDefault="00000000" w:rsidRPr="00000000" w14:paraId="00000019">
      <w:pPr>
        <w:pageBreakBefore w:val="0"/>
        <w:rPr/>
      </w:pPr>
      <w:r w:rsidDel="00000000" w:rsidR="00000000" w:rsidRPr="00000000">
        <w:rPr>
          <w:rtl w:val="0"/>
        </w:rPr>
        <w:t xml:space="preserve">As the current policy is set to expire, a sub-committee has been formed to review the documentation and will report back to CAPP for discussion and follow-up.</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Regents Policy RP 9.214, Teaching Assignments for Instructional Faculty</w:t>
      </w:r>
    </w:p>
    <w:p w:rsidR="00000000" w:rsidDel="00000000" w:rsidP="00000000" w:rsidRDefault="00000000" w:rsidRPr="00000000" w14:paraId="0000001C">
      <w:pPr>
        <w:pageBreakBefore w:val="0"/>
        <w:rPr/>
      </w:pPr>
      <w:r w:rsidDel="00000000" w:rsidR="00000000" w:rsidRPr="00000000">
        <w:rPr>
          <w:rtl w:val="0"/>
        </w:rPr>
        <w:t xml:space="preserve">Revision of teaching equivalences in policy discussed and a short list of questions pertaining to the BOR policy was then forwarded to the Associate Vice President for Academic Affairs, Joanne Itano for clarification. Discussion with Dr. Itano indicated the policy was back at the BOR for revision. The issue will be revisited later.</w:t>
      </w:r>
    </w:p>
    <w:p w:rsidR="00000000" w:rsidDel="00000000" w:rsidP="00000000" w:rsidRDefault="00000000" w:rsidRPr="00000000" w14:paraId="0000001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General Education requirements</w:t>
      </w:r>
    </w:p>
    <w:p w:rsidR="00000000" w:rsidDel="00000000" w:rsidP="00000000" w:rsidRDefault="00000000" w:rsidRPr="00000000" w14:paraId="00000021">
      <w:pPr>
        <w:pageBreakBefore w:val="0"/>
        <w:rPr/>
      </w:pPr>
      <w:r w:rsidDel="00000000" w:rsidR="00000000" w:rsidRPr="00000000">
        <w:rPr>
          <w:rtl w:val="0"/>
        </w:rPr>
        <w:t xml:space="preserve">The SEC requested CAPP to consider looking in the GenEd requirements at Mānoa. </w:t>
      </w:r>
    </w:p>
    <w:p w:rsidR="00000000" w:rsidDel="00000000" w:rsidP="00000000" w:rsidRDefault="00000000" w:rsidRPr="00000000" w14:paraId="00000022">
      <w:pPr>
        <w:pageBreakBefore w:val="0"/>
        <w:rPr/>
      </w:pPr>
      <w:r w:rsidDel="00000000" w:rsidR="00000000" w:rsidRPr="00000000">
        <w:rPr>
          <w:rtl w:val="0"/>
        </w:rPr>
        <w:t xml:space="preserve">Committee agreed to collect data on GenEd requirements at peer institutions for comparison with current Mānoa requirements.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Hawaiʻi at Mānoa Faculty Senate</w:t>
    </w:r>
  </w:p>
  <w:p w:rsidR="00000000" w:rsidDel="00000000" w:rsidP="00000000" w:rsidRDefault="00000000" w:rsidRPr="00000000" w14:paraId="00000028">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Hawaiʻi Hall 208 • Honolulu, Hawaiʻi 96822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101600</wp:posOffset>
              </wp:positionV>
              <wp:extent cx="3619500" cy="571500"/>
              <wp:effectExtent b="0" l="0" r="0" t="0"/>
              <wp:wrapSquare wrapText="bothSides" distB="0" distT="0" distL="114300" distR="114300"/>
              <wp:docPr id="1" name=""/>
              <a:graphic>
                <a:graphicData uri="http://schemas.microsoft.com/office/word/2010/wordprocessingShape">
                  <wps:wsp>
                    <wps:cNvSpPr/>
                    <wps:cNvPr id="2" name="Shape 2"/>
                    <wps:spPr>
                      <a:xfrm>
                        <a:off x="3535298" y="3494250"/>
                        <a:ext cx="3621405" cy="571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Palatino" w:cs="Palatino" w:eastAsia="Palatino" w:hAnsi="Palatino"/>
                              <w:b w:val="0"/>
                              <w:i w:val="0"/>
                              <w:smallCaps w:val="1"/>
                              <w:strike w:val="0"/>
                              <w:color w:val="000000"/>
                              <w:sz w:val="24"/>
                              <w:vertAlign w:val="baseline"/>
                            </w:rPr>
                            <w:t xml:space="preserve">Committee on Academic Policy and Planning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101600</wp:posOffset>
              </wp:positionV>
              <wp:extent cx="3619500" cy="5715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619500" cy="57150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