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ON Academic Policy and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October 2016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Hawaii Hall 208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390"/>
        <w:gridCol w:w="2325"/>
        <w:gridCol w:w="450"/>
        <w:gridCol w:w="2445"/>
        <w:gridCol w:w="270"/>
        <w:gridCol w:w="1890"/>
        <w:gridCol w:w="810"/>
        <w:tblGridChange w:id="0">
          <w:tblGrid>
            <w:gridCol w:w="2325"/>
            <w:gridCol w:w="390"/>
            <w:gridCol w:w="2325"/>
            <w:gridCol w:w="450"/>
            <w:gridCol w:w="2445"/>
            <w:gridCol w:w="270"/>
            <w:gridCol w:w="1890"/>
            <w:gridCol w:w="8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ADY, Jeffrey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POWELL, Brian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IRVINE (Sorensen), Christine  SEC liaison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ERICSON, David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WARD, Cynthia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GOSNELL,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WILKENS, George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KOZOK, Ulrich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Kauai,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MOBLEY, Joseph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Called to order at 1500 hrs. By W. Gosnell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Minutes of September 7 meeting approved.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Quick review of CAPP Open Issues list from C. Sorensen-Irvine, prioritization of issues to work 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23.12: High D/F/I/W/ Course Follow-Up: Discussed; Possible Action Item(a)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54.12: Grade Replacement Policy Taskforce: Discussed.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Issues with advising: Not enough advisors, overloaded advisors in some colleges, with the converse in other colleges.  Willi recalls it as a staffing issue.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 degree number program list: A legislative issue, resulting in possible structural “fixes” such as combining small programs via vertical mergers.  Suggested to monitor and request developing information. (b)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3/9/2011 Minutes regarding Grade Replacement.(c)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“Undergraduate Experience” initiative: B. Powell suggested asking Jay Bruno to visit CAPP and explore ways we can provide input along with W. Kauai (d)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New BOR Workload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of departments’ efforts to adhere to the current mandate. Willi distributed SEC request for comments.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 feel as if we are being overtaken by events; process is already in motion.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 policies established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chancellors are responsible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doing this; it seems that this function is being passed down [through the deans] to the units and individual faculty members.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CAPP Concerns as of Oct 11, 2016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A critical consideration is that this is a workload question for “I”, not “R” and “S” faculty.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Equivalencies are already out there--why ask us to collate them anew at this point?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Where will this information be published?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There is no reasonable way to address heterogeneity among programs in this initiative, especially at peer institutions.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Tenure &amp; Promotion, and Periodic Review, is already done on an individual basis.  Reduced data in statistical form at the department or individual faculty unit of analysis is of unknown value.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Campus equivalencies should be published, not unit or individual equivalencies...for comparison between campuses.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This initiative appears to countermand existing policy that this is a Chancellor’s responsibility to create teaching equivalencies for each campus.  Can you explain the relationship between this initiative and the established intent to establish teaching assignments?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 with 12/14 meeting date...try 12/7, room tbd. (e)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(a) Cynthia Ward volunteered to seek latest information.  Also: possible subcommittee tasked to it. George agreed to research background.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(b) Joe Mobley volunteered to ask Susan Nishida for more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 ) Joe Mobley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(d) Brian and Willy will head up ad hoc efforts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(e) Willi.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1658hrs.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Jeffrey C. 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11/12/16 with 6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2500 Campus Road • Hawai’i Hall 208 • Honolulu, Hawai’i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126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440" w:line="240" w:lineRule="auto"/>
      <w:ind w:left="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42608" cy="7762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2608" cy="776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1"/>
                        <a:ext cx="3011804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