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Academic Policy and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January 25, 2017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Hawaii Hall Room 208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390"/>
        <w:gridCol w:w="2325"/>
        <w:gridCol w:w="450"/>
        <w:gridCol w:w="2445"/>
        <w:gridCol w:w="270"/>
        <w:gridCol w:w="1890"/>
        <w:gridCol w:w="810"/>
        <w:tblGridChange w:id="0">
          <w:tblGrid>
            <w:gridCol w:w="2325"/>
            <w:gridCol w:w="390"/>
            <w:gridCol w:w="2325"/>
            <w:gridCol w:w="450"/>
            <w:gridCol w:w="2445"/>
            <w:gridCol w:w="270"/>
            <w:gridCol w:w="1890"/>
            <w:gridCol w:w="8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ADY, Jeffrey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POWELL, Brian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IRVINE (Sorensen), Christine  SEC liaison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WILKENS, George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KOZOK, Ulrich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Kauai,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MOBLEY, Joseph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 by W. Gosnell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Course Evaluation System</w:t>
            </w:r>
            <w:r w:rsidDel="00000000" w:rsidR="00000000" w:rsidRPr="00000000">
              <w:rPr>
                <w:rtl w:val="0"/>
              </w:rPr>
              <w:t xml:space="preserve"> (CES)—responding to Marguerite’s email re: David Lassner’s response to faculty input re: CES. The CES issue was discussed at last week’s meeting (chaired by Brian). Question discussed as to how best to proceed. </w:t>
            </w:r>
          </w:p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Christine noted that, at last draft, nothing in the CES had changed in response to CAPP earlier input.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 regarding what items are “fixed” according to System, and what items were under the control of individual units or departments.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viewpoint from CAPP is that it’s “done,” but we should keep asking questions regarding clarification, but we’re not altogether hopeful that those questions will be answered; we should continue to express our dissatisfaction and offer recommendations re: how best to “fix” it.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Also raised was the issue of the survey sent out by VCAA office re: CES seeking faculty input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  <w:t xml:space="preserve">: CAPP intends to develop a recommendation, vet it through CAPP and forward to SEC for February meeting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George; Brian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General Education Requirements</w:t>
            </w:r>
            <w:r w:rsidDel="00000000" w:rsidR="00000000" w:rsidRPr="00000000">
              <w:rPr>
                <w:rtl w:val="0"/>
              </w:rPr>
              <w:t xml:space="preserve"> (GenEd)—David brought in an existing summary of Gen Ed Requirements by UHM Peer Institutions (N=8 universities) that shows the peer institutions requiring from a min of 24 (Univ of Illinois-Chicago) to 40 credits (U New Mexico). So this fulfills our needs re: researching this issue.</w:t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  <w:t xml:space="preserve">: no further action required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QUORUM was lost at 3:55PM when David left.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Jeffrey C. Ady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notes taken by Joe Mobley.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date [   March 23, 2017         ] with [4  ] votes in favor of approval and [ 0  ] 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2500 Campus Road • Hawai’i Hall 208 • Honolulu, Hawai’i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126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440" w:line="240" w:lineRule="auto"/>
      <w:ind w:left="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42608" cy="7762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2608" cy="776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