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ACADEMIC POLICY &amp;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September 27, 2017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2:00 PM - 3:00 PM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0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5"/>
        <w:gridCol w:w="2550"/>
        <w:gridCol w:w="435"/>
        <w:gridCol w:w="1980"/>
        <w:gridCol w:w="435"/>
        <w:gridCol w:w="1890"/>
        <w:gridCol w:w="1260"/>
        <w:tblGridChange w:id="0">
          <w:tblGrid>
            <w:gridCol w:w="2205"/>
            <w:gridCol w:w="435"/>
            <w:gridCol w:w="2550"/>
            <w:gridCol w:w="435"/>
            <w:gridCol w:w="1980"/>
            <w:gridCol w:w="435"/>
            <w:gridCol w:w="1890"/>
            <w:gridCol w:w="126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William Gosnell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Nicole Ziegler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Scott Sinnett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2:00 PM 2:45 PM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Joseph Mobley (Secretary)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Ulrich Kozok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Willy Kauai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James Potemra </w:t>
              <w:br w:type="textWrapping"/>
              <w:t xml:space="preserve">(Vice- Chair)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Carolyn Stephenson (Chair)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Justin Clapp - Leave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Susan Nakaoka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Powell, liaison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5670"/>
        <w:gridCol w:w="3150"/>
        <w:tblGridChange w:id="0">
          <w:tblGrid>
            <w:gridCol w:w="1908"/>
            <w:gridCol w:w="567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Chair Stephenson, at 2:00 PM.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3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minutes of September 13, 2017 had been circulated electronically and comments made.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approve the September 13, 2017 minutes as amended by W. Gosnell; seconded by N. Ziegler.  Approved unanimously.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Psychology request re: 45 credit upper-division credit hour waiver</w:t>
              <w:br w:type="textWrapping"/>
              <w:t xml:space="preserve">Guest: UG Chair Psychology Scott Sinnett; discussion followed</w:t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45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Continued review of topics for CAPP:</w:t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Psychology request re: 45 credit upper-division credit hour waiver Course Evaluation System: Implementation Details</w:t>
              <w:br w:type="textWrapping"/>
              <w:t xml:space="preserve">High D/F/I/W Courses: Retention Issue</w:t>
              <w:br w:type="textWrapping"/>
              <w:t xml:space="preserve">Credit Hour Audit Policy (from Manoa admin)</w:t>
              <w:br w:type="textWrapping"/>
              <w:t xml:space="preserve">Grade Replacement Policy</w:t>
              <w:br w:type="textWrapping"/>
              <w:t xml:space="preserve">Low Enrollment Programs</w:t>
              <w:br w:type="textWrapping"/>
              <w:t xml:space="preserve">Withdrawal and Drop Deadlines</w:t>
              <w:br w:type="textWrapping"/>
              <w:t xml:space="preserve">BANNER “hides” previous grades for transfer students (credit/no-credit)</w:t>
              <w:br w:type="textWrapping"/>
              <w:t xml:space="preserve">Policy to encourage Open Educational Resources?</w:t>
              <w:br w:type="textWrapping"/>
              <w:t xml:space="preserve">Revise TOEFL Requirement? UH requires 100, Berkeley 85, U. Illinois 79</w:t>
              <w:br w:type="textWrapping"/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1"/>
              </w:numPr>
              <w:spacing w:after="0" w:afterAutospacing="0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Request for more data from Psychology including BA/BS comparisons on requirements and number of students and transfer data</w:t>
              <w:br w:type="textWrapping"/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1"/>
              </w:numPr>
              <w:spacing w:after="2.4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Topics shown were approved for continued discussion. CAPP members asked to choose 2-3 items to report on in future</w:t>
              <w:br w:type="textWrapping"/>
              <w:t xml:space="preserve"> </w:t>
              <w:br w:type="textWrapping"/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next meeting of the Committee on Academic Policy and Planning will be held on October 11, 2017 at 3:00 PM in Hawaii Hall 208.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1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by W. Gosnell; seconded by N.  Ziegler  Passed unanimously. Meeting adjourned at 3:17 PM.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Joseph Mobley, staff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October 11, 2017 with 6 votes in favor of approval and 0 against.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54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