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ACADEMIC POLICY &amp;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November 22, 2017</w:t>
      </w:r>
      <w:r w:rsidDel="00000000" w:rsidR="00000000" w:rsidRPr="00000000">
        <w:rPr>
          <w:b w:val="1"/>
          <w:sz w:val="22"/>
          <w:szCs w:val="22"/>
          <w:rtl w:val="0"/>
        </w:rPr>
        <w:tab/>
        <w:t xml:space="preserve">3:00 PM - 4:30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31.000000000002"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1.99999999999994"/>
        <w:gridCol w:w="2550"/>
        <w:gridCol w:w="431.99999999999994"/>
        <w:gridCol w:w="1980"/>
        <w:gridCol w:w="431.99999999999994"/>
        <w:gridCol w:w="1890"/>
        <w:gridCol w:w="810"/>
        <w:tblGridChange w:id="0">
          <w:tblGrid>
            <w:gridCol w:w="2205"/>
            <w:gridCol w:w="431.99999999999994"/>
            <w:gridCol w:w="2550"/>
            <w:gridCol w:w="431.99999999999994"/>
            <w:gridCol w:w="1980"/>
            <w:gridCol w:w="431.99999999999994"/>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Nicole Ziegler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Joseph Mobley (Secretary)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Ulrich Kozok</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Willy Kauai</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rPr>
                <w:sz w:val="22"/>
                <w:szCs w:val="22"/>
              </w:rPr>
            </w:pPr>
            <w:r w:rsidDel="00000000" w:rsidR="00000000" w:rsidRPr="00000000">
              <w:rPr>
                <w:sz w:val="22"/>
                <w:szCs w:val="22"/>
                <w:rtl w:val="0"/>
              </w:rPr>
              <w:t xml:space="preserve">James Potemra</w:t>
              <w:br w:type="textWrapping"/>
              <w:t xml:space="preserve">(Vice-Chair)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Carolyn Stephenson (Chair)</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Justin Clapp (On leave) returns Spring 2018</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Brian Powell, liaison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685"/>
        <w:gridCol w:w="3135"/>
        <w:tblGridChange w:id="0">
          <w:tblGrid>
            <w:gridCol w:w="1908"/>
            <w:gridCol w:w="5685"/>
            <w:gridCol w:w="313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Chair Stephenson  at 3:00 PM.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4"/>
              </w:numPr>
              <w:spacing w:after="2.4" w:before="2.4" w:lineRule="auto"/>
              <w:ind w:left="720" w:hanging="360"/>
              <w:rPr>
                <w:sz w:val="22"/>
                <w:szCs w:val="22"/>
              </w:rPr>
            </w:pPr>
            <w:r w:rsidDel="00000000" w:rsidR="00000000" w:rsidRPr="00000000">
              <w:rPr>
                <w:sz w:val="22"/>
                <w:szCs w:val="22"/>
                <w:rtl w:val="0"/>
              </w:rPr>
              <w:t xml:space="preserve">The November 8, 2017 meeting minutes were circulated electronically for comments.</w:t>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approve the November 8, 2017 minutes. Approved unanimously, 6 for and 0 against.</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LIAISON REPORT</w:t>
            </w:r>
          </w:p>
        </w:tc>
        <w:tc>
          <w:tcPr/>
          <w:p w:rsidR="00000000" w:rsidDel="00000000" w:rsidP="00000000" w:rsidRDefault="00000000" w:rsidRPr="00000000" w14:paraId="00000043">
            <w:pPr>
              <w:pageBreakBefore w:val="0"/>
              <w:numPr>
                <w:ilvl w:val="0"/>
                <w:numId w:val="2"/>
              </w:numPr>
              <w:spacing w:after="2.4" w:before="2.4" w:lineRule="auto"/>
              <w:ind w:left="720" w:hanging="360"/>
              <w:rPr>
                <w:sz w:val="22"/>
                <w:szCs w:val="22"/>
                <w:u w:val="none"/>
              </w:rPr>
            </w:pPr>
            <w:r w:rsidDel="00000000" w:rsidR="00000000" w:rsidRPr="00000000">
              <w:rPr>
                <w:sz w:val="22"/>
                <w:szCs w:val="22"/>
                <w:rtl w:val="0"/>
              </w:rPr>
              <w:t xml:space="preserve">New issues likely to be coming to CAPP:</w:t>
            </w:r>
          </w:p>
          <w:p w:rsidR="00000000" w:rsidDel="00000000" w:rsidP="00000000" w:rsidRDefault="00000000" w:rsidRPr="00000000" w14:paraId="00000044">
            <w:pPr>
              <w:pageBreakBefore w:val="0"/>
              <w:spacing w:after="2.4" w:before="2.4" w:lineRule="auto"/>
              <w:rPr>
                <w:sz w:val="22"/>
                <w:szCs w:val="22"/>
              </w:rPr>
            </w:pPr>
            <w:r w:rsidDel="00000000" w:rsidR="00000000" w:rsidRPr="00000000">
              <w:rPr>
                <w:sz w:val="22"/>
                <w:szCs w:val="22"/>
                <w:rtl w:val="0"/>
              </w:rPr>
              <w:t xml:space="preserve">             Dental Hygiene Post-Baccalaureate Certificate,</w:t>
            </w:r>
          </w:p>
          <w:p w:rsidR="00000000" w:rsidDel="00000000" w:rsidP="00000000" w:rsidRDefault="00000000" w:rsidRPr="00000000" w14:paraId="00000045">
            <w:pPr>
              <w:pageBreakBefore w:val="0"/>
              <w:spacing w:after="2.4" w:before="2.4" w:lineRule="auto"/>
              <w:rPr>
                <w:sz w:val="22"/>
                <w:szCs w:val="22"/>
              </w:rPr>
            </w:pPr>
            <w:r w:rsidDel="00000000" w:rsidR="00000000" w:rsidRPr="00000000">
              <w:rPr>
                <w:sz w:val="22"/>
                <w:szCs w:val="22"/>
                <w:rtl w:val="0"/>
              </w:rPr>
              <w:t xml:space="preserve">             Course repeat policy enforcement has impacted a </w:t>
            </w:r>
          </w:p>
          <w:p w:rsidR="00000000" w:rsidDel="00000000" w:rsidP="00000000" w:rsidRDefault="00000000" w:rsidRPr="00000000" w14:paraId="00000046">
            <w:pPr>
              <w:pageBreakBefore w:val="0"/>
              <w:spacing w:after="2.4" w:before="2.4" w:lineRule="auto"/>
              <w:rPr>
                <w:sz w:val="22"/>
                <w:szCs w:val="22"/>
              </w:rPr>
            </w:pPr>
            <w:r w:rsidDel="00000000" w:rsidR="00000000" w:rsidRPr="00000000">
              <w:rPr>
                <w:sz w:val="22"/>
                <w:szCs w:val="22"/>
                <w:rtl w:val="0"/>
              </w:rPr>
              <w:t xml:space="preserve">             large number of students (e.g., Chemistry) and will </w:t>
            </w:r>
          </w:p>
          <w:p w:rsidR="00000000" w:rsidDel="00000000" w:rsidP="00000000" w:rsidRDefault="00000000" w:rsidRPr="00000000" w14:paraId="00000047">
            <w:pPr>
              <w:pageBreakBefore w:val="0"/>
              <w:spacing w:after="2.4" w:before="2.4" w:lineRule="auto"/>
              <w:rPr>
                <w:sz w:val="22"/>
                <w:szCs w:val="22"/>
              </w:rPr>
            </w:pPr>
            <w:r w:rsidDel="00000000" w:rsidR="00000000" w:rsidRPr="00000000">
              <w:rPr>
                <w:sz w:val="22"/>
                <w:szCs w:val="22"/>
                <w:rtl w:val="0"/>
              </w:rPr>
              <w:t xml:space="preserve">             need to be rectified</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BUSINESS</w:t>
            </w:r>
          </w:p>
        </w:tc>
        <w:tc>
          <w:tcPr/>
          <w:p w:rsidR="00000000" w:rsidDel="00000000" w:rsidP="00000000" w:rsidRDefault="00000000" w:rsidRPr="00000000" w14:paraId="0000004A">
            <w:pPr>
              <w:pageBreakBefore w:val="0"/>
              <w:numPr>
                <w:ilvl w:val="0"/>
                <w:numId w:val="3"/>
              </w:numPr>
              <w:ind w:left="720" w:hanging="360"/>
              <w:rPr>
                <w:sz w:val="22"/>
                <w:szCs w:val="22"/>
                <w:u w:val="none"/>
              </w:rPr>
            </w:pPr>
            <w:r w:rsidDel="00000000" w:rsidR="00000000" w:rsidRPr="00000000">
              <w:rPr>
                <w:sz w:val="22"/>
                <w:szCs w:val="22"/>
                <w:rtl w:val="0"/>
              </w:rPr>
              <w:t xml:space="preserve">Continued discussion and decision-making on the Course Evaluation System</w:t>
              <w:br w:type="textWrapping"/>
            </w:r>
          </w:p>
          <w:p w:rsidR="00000000" w:rsidDel="00000000" w:rsidP="00000000" w:rsidRDefault="00000000" w:rsidRPr="00000000" w14:paraId="0000004B">
            <w:pPr>
              <w:pageBreakBefore w:val="0"/>
              <w:numPr>
                <w:ilvl w:val="0"/>
                <w:numId w:val="3"/>
              </w:numPr>
              <w:ind w:left="720" w:hanging="360"/>
              <w:rPr>
                <w:sz w:val="22"/>
                <w:szCs w:val="22"/>
                <w:u w:val="none"/>
              </w:rPr>
            </w:pPr>
            <w:r w:rsidDel="00000000" w:rsidR="00000000" w:rsidRPr="00000000">
              <w:rPr>
                <w:sz w:val="22"/>
                <w:szCs w:val="22"/>
                <w:rtl w:val="0"/>
              </w:rPr>
              <w:t xml:space="preserve">Other Sub-committee Reports</w:t>
              <w:br w:type="textWrapping"/>
              <w:br w:type="textWrapping"/>
              <w:br w:type="textWrapping"/>
              <w:br w:type="textWrapping"/>
              <w:br w:type="textWrapping"/>
            </w:r>
          </w:p>
          <w:p w:rsidR="00000000" w:rsidDel="00000000" w:rsidP="00000000" w:rsidRDefault="00000000" w:rsidRPr="00000000" w14:paraId="0000004C">
            <w:pPr>
              <w:pageBreakBefore w:val="0"/>
              <w:numPr>
                <w:ilvl w:val="0"/>
                <w:numId w:val="3"/>
              </w:numPr>
              <w:ind w:left="720" w:hanging="360"/>
              <w:rPr>
                <w:sz w:val="22"/>
                <w:szCs w:val="22"/>
                <w:u w:val="none"/>
              </w:rPr>
            </w:pPr>
            <w:r w:rsidDel="00000000" w:rsidR="00000000" w:rsidRPr="00000000">
              <w:rPr>
                <w:sz w:val="22"/>
                <w:szCs w:val="22"/>
                <w:rtl w:val="0"/>
              </w:rPr>
              <w:t xml:space="preserve">Issue 4.15 Prior Learning Assessment (PLA)--System-wide PLA Committee has raised questions about what Manoa policy is and what we might want to do in the future. The OVCAA has agreed to gather data on various Manoa-related policies.</w:t>
              <w:br w:type="textWrapping"/>
              <w:br w:type="textWrapping"/>
              <w:br w:type="textWrapping"/>
              <w:br w:type="textWrapping"/>
              <w:br w:type="textWrapping"/>
              <w:br w:type="textWrapping"/>
              <w:br w:type="textWrapping"/>
            </w:r>
          </w:p>
          <w:p w:rsidR="00000000" w:rsidDel="00000000" w:rsidP="00000000" w:rsidRDefault="00000000" w:rsidRPr="00000000" w14:paraId="0000004D">
            <w:pPr>
              <w:pageBreakBefore w:val="0"/>
              <w:rPr>
                <w:sz w:val="22"/>
                <w:szCs w:val="22"/>
              </w:rPr>
            </w:pPr>
            <w:r w:rsidDel="00000000" w:rsidR="00000000" w:rsidRPr="00000000">
              <w:rPr>
                <w:rtl w:val="0"/>
              </w:rPr>
            </w:r>
          </w:p>
          <w:p w:rsidR="00000000" w:rsidDel="00000000" w:rsidP="00000000" w:rsidRDefault="00000000" w:rsidRPr="00000000" w14:paraId="0000004E">
            <w:pPr>
              <w:pageBreakBefore w:val="0"/>
              <w:rPr>
                <w:sz w:val="22"/>
                <w:szCs w:val="22"/>
              </w:rPr>
            </w:pPr>
            <w:r w:rsidDel="00000000" w:rsidR="00000000" w:rsidRPr="00000000">
              <w:rPr>
                <w:sz w:val="22"/>
                <w:szCs w:val="22"/>
                <w:rtl w:val="0"/>
              </w:rPr>
              <w:br w:type="textWrapping"/>
              <w:br w:type="textWrapping"/>
              <w:br w:type="textWrapping"/>
            </w:r>
          </w:p>
        </w:tc>
        <w:tc>
          <w:tcPr/>
          <w:p w:rsidR="00000000" w:rsidDel="00000000" w:rsidP="00000000" w:rsidRDefault="00000000" w:rsidRPr="00000000" w14:paraId="0000004F">
            <w:pPr>
              <w:pageBreakBefore w:val="0"/>
              <w:numPr>
                <w:ilvl w:val="0"/>
                <w:numId w:val="1"/>
              </w:numPr>
              <w:spacing w:after="0" w:afterAutospacing="0" w:before="2.4" w:lineRule="auto"/>
              <w:ind w:left="720" w:hanging="360"/>
              <w:rPr>
                <w:sz w:val="22"/>
                <w:szCs w:val="22"/>
              </w:rPr>
            </w:pPr>
            <w:r w:rsidDel="00000000" w:rsidR="00000000" w:rsidRPr="00000000">
              <w:rPr>
                <w:sz w:val="22"/>
                <w:szCs w:val="22"/>
                <w:rtl w:val="0"/>
              </w:rPr>
              <w:t xml:space="preserve">Action.</w:t>
              <w:br w:type="textWrapping"/>
              <w:br w:type="textWrapping"/>
            </w:r>
          </w:p>
          <w:p w:rsidR="00000000" w:rsidDel="00000000" w:rsidP="00000000" w:rsidRDefault="00000000" w:rsidRPr="00000000" w14:paraId="00000050">
            <w:pPr>
              <w:pageBreakBefore w:val="0"/>
              <w:numPr>
                <w:ilvl w:val="0"/>
                <w:numId w:val="1"/>
              </w:numPr>
              <w:spacing w:after="0" w:afterAutospacing="0" w:before="0" w:beforeAutospacing="0" w:lineRule="auto"/>
              <w:ind w:left="720" w:hanging="360"/>
              <w:rPr>
                <w:sz w:val="22"/>
                <w:szCs w:val="22"/>
              </w:rPr>
            </w:pPr>
            <w:r w:rsidDel="00000000" w:rsidR="00000000" w:rsidRPr="00000000">
              <w:rPr>
                <w:sz w:val="22"/>
                <w:szCs w:val="22"/>
                <w:rtl w:val="0"/>
              </w:rPr>
              <w:t xml:space="preserve">Action. Sub-committee members asked to be ready to present on their respective issues next mtg.</w:t>
              <w:br w:type="textWrapping"/>
            </w:r>
          </w:p>
          <w:p w:rsidR="00000000" w:rsidDel="00000000" w:rsidP="00000000" w:rsidRDefault="00000000" w:rsidRPr="00000000" w14:paraId="00000051">
            <w:pPr>
              <w:pageBreakBefore w:val="0"/>
              <w:numPr>
                <w:ilvl w:val="0"/>
                <w:numId w:val="1"/>
              </w:numPr>
              <w:spacing w:after="2.4" w:before="0" w:beforeAutospacing="0" w:lineRule="auto"/>
              <w:ind w:left="720" w:hanging="360"/>
              <w:rPr>
                <w:sz w:val="22"/>
                <w:szCs w:val="22"/>
              </w:rPr>
            </w:pPr>
            <w:r w:rsidDel="00000000" w:rsidR="00000000" w:rsidRPr="00000000">
              <w:rPr>
                <w:sz w:val="22"/>
                <w:szCs w:val="22"/>
                <w:rtl w:val="0"/>
              </w:rPr>
              <w:t xml:space="preserve">Action. Deborah Halbert to be asked to attend Dec 6 CAPP mtg., 2:30-3pm</w:t>
              <w:br w:type="textWrapping"/>
              <w:t xml:space="preserve"> </w:t>
              <w:br w:type="textWrapping"/>
            </w:r>
          </w:p>
        </w:tc>
      </w:tr>
      <w:tr>
        <w:trPr>
          <w:cantSplit w:val="0"/>
          <w:trHeight w:val="580" w:hRule="atLeast"/>
          <w:tblHeader w:val="0"/>
        </w:trPr>
        <w:tc>
          <w:tcPr/>
          <w:p w:rsidR="00000000" w:rsidDel="00000000" w:rsidP="00000000" w:rsidRDefault="00000000" w:rsidRPr="00000000" w14:paraId="00000052">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3">
            <w:pPr>
              <w:pageBreakBefore w:val="0"/>
              <w:rPr>
                <w:sz w:val="20"/>
                <w:szCs w:val="20"/>
              </w:rPr>
            </w:pPr>
            <w:r w:rsidDel="00000000" w:rsidR="00000000" w:rsidRPr="00000000">
              <w:rPr>
                <w:rtl w:val="0"/>
              </w:rPr>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 W. Gosnell; seconded by J. Potemra.  Passed unanimously. Meeting adjourned at 4:32 PM.</w:t>
            </w:r>
            <w:r w:rsidDel="00000000" w:rsidR="00000000" w:rsidRPr="00000000">
              <w:rPr>
                <w:rtl w:val="0"/>
              </w:rPr>
            </w:r>
          </w:p>
        </w:tc>
      </w:tr>
    </w:tbl>
    <w:p w:rsidR="00000000" w:rsidDel="00000000" w:rsidP="00000000" w:rsidRDefault="00000000" w:rsidRPr="00000000" w14:paraId="00000056">
      <w:pPr>
        <w:pageBreakBefore w:val="0"/>
        <w:rPr>
          <w:sz w:val="22"/>
          <w:szCs w:val="22"/>
        </w:rPr>
      </w:pPr>
      <w:r w:rsidDel="00000000" w:rsidR="00000000" w:rsidRPr="00000000">
        <w:rPr>
          <w:rtl w:val="0"/>
        </w:rPr>
      </w:r>
    </w:p>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Respectfully submitted by Joseph Mobley, staff</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sz w:val="22"/>
          <w:szCs w:val="22"/>
          <w:rtl w:val="0"/>
        </w:rPr>
        <w:t xml:space="preserve">Approved on December 6, 2017 with 7 votes in favor of approval and 0 against.</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5D">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