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2880" w:firstLine="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January 9, 2019</w:t>
        <w:tab/>
        <w:t xml:space="preserve">    3:30 PM - 5:00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Lori Fulton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Randall Minas</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W. Gosnell at 3:29PM.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3"/>
              </w:numPr>
              <w:spacing w:after="2.4" w:before="2.4" w:lineRule="auto"/>
              <w:ind w:left="720" w:hanging="360"/>
              <w:rPr>
                <w:sz w:val="22"/>
                <w:szCs w:val="22"/>
              </w:rPr>
            </w:pPr>
            <w:r w:rsidDel="00000000" w:rsidR="00000000" w:rsidRPr="00000000">
              <w:rPr>
                <w:sz w:val="22"/>
                <w:szCs w:val="22"/>
                <w:rtl w:val="0"/>
              </w:rPr>
              <w:t xml:space="preserve">No amendments</w:t>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Motion by W. Gosnell; seconded by N. Ziegler; unanimously approved.</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numPr>
                <w:ilvl w:val="0"/>
                <w:numId w:val="6"/>
              </w:numPr>
              <w:ind w:left="720" w:hanging="360"/>
              <w:rPr>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47">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9">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A">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B">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D">
            <w:pPr>
              <w:pageBreakBefore w:val="0"/>
              <w:numPr>
                <w:ilvl w:val="0"/>
                <w:numId w:val="1"/>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4E">
            <w:pPr>
              <w:pageBreakBefore w:val="0"/>
              <w:ind w:left="720" w:firstLine="0"/>
              <w:rPr>
                <w:sz w:val="22"/>
                <w:szCs w:val="22"/>
              </w:rPr>
            </w:pPr>
            <w:r w:rsidDel="00000000" w:rsidR="00000000" w:rsidRPr="00000000">
              <w:rPr>
                <w:sz w:val="22"/>
                <w:szCs w:val="22"/>
                <w:rtl w:val="0"/>
              </w:rPr>
              <w:t xml:space="preserve">There were some issues with the timing of the message sent to undergraduate students about the availability of the survey.</w:t>
            </w:r>
          </w:p>
          <w:p w:rsidR="00000000" w:rsidDel="00000000" w:rsidP="00000000" w:rsidRDefault="00000000" w:rsidRPr="00000000" w14:paraId="0000004F">
            <w:pPr>
              <w:pageBreakBefore w:val="0"/>
              <w:ind w:left="720" w:firstLine="0"/>
              <w:rPr>
                <w:sz w:val="22"/>
                <w:szCs w:val="2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0">
            <w:pPr>
              <w:pageBreakBefore w:val="0"/>
              <w:spacing w:after="2.4" w:before="2.4" w:lineRule="auto"/>
              <w:rPr>
                <w:sz w:val="22"/>
                <w:szCs w:val="22"/>
              </w:rPr>
            </w:pPr>
            <w:r w:rsidDel="00000000" w:rsidR="00000000" w:rsidRPr="00000000">
              <w:rPr>
                <w:sz w:val="22"/>
                <w:szCs w:val="22"/>
                <w:rtl w:val="0"/>
              </w:rPr>
              <w:t xml:space="preserve">C. </w:t>
            </w:r>
            <w:r w:rsidDel="00000000" w:rsidR="00000000" w:rsidRPr="00000000">
              <w:rPr>
                <w:sz w:val="22"/>
                <w:szCs w:val="22"/>
                <w:rtl w:val="0"/>
              </w:rPr>
              <w:t xml:space="preserve">Stephenson will follow up with H. Okimoto</w:t>
            </w:r>
            <w:r w:rsidDel="00000000" w:rsidR="00000000" w:rsidRPr="00000000">
              <w:rPr>
                <w:sz w:val="22"/>
                <w:szCs w:val="22"/>
                <w:rtl w:val="0"/>
              </w:rPr>
              <w:t xml:space="preserve"> on notifications to faculty about completed evaluations. </w:t>
            </w:r>
          </w:p>
          <w:p w:rsidR="00000000" w:rsidDel="00000000" w:rsidP="00000000" w:rsidRDefault="00000000" w:rsidRPr="00000000" w14:paraId="00000051">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2">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3">
            <w:pPr>
              <w:pageBreakBefore w:val="0"/>
              <w:numPr>
                <w:ilvl w:val="0"/>
                <w:numId w:val="1"/>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4">
            <w:pPr>
              <w:pageBreakBefore w:val="0"/>
              <w:ind w:left="720" w:firstLine="0"/>
              <w:rPr>
                <w:sz w:val="22"/>
                <w:szCs w:val="22"/>
              </w:rPr>
            </w:pPr>
            <w:r w:rsidDel="00000000" w:rsidR="00000000" w:rsidRPr="00000000">
              <w:rPr>
                <w:sz w:val="22"/>
                <w:szCs w:val="22"/>
                <w:rtl w:val="0"/>
              </w:rPr>
              <w:t xml:space="preserve">CAPP will consider issues of coordination with Graduate Council. CAPP asked why the Graduate Council approvals of programs do not come to the Faculty Senate for approval as do the recommendations of other Senate committees. Should both graduate and undergraduate academic matters come to subcommittees of CAPP?</w:t>
            </w:r>
          </w:p>
          <w:p w:rsidR="00000000" w:rsidDel="00000000" w:rsidP="00000000" w:rsidRDefault="00000000" w:rsidRPr="00000000" w14:paraId="0000005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6">
            <w:pPr>
              <w:pageBreakBefore w:val="0"/>
              <w:spacing w:after="2.4" w:before="2.4" w:lineRule="auto"/>
              <w:rPr>
                <w:sz w:val="22"/>
                <w:szCs w:val="22"/>
              </w:rPr>
            </w:pPr>
            <w:r w:rsidDel="00000000" w:rsidR="00000000" w:rsidRPr="00000000">
              <w:rPr>
                <w:sz w:val="22"/>
                <w:szCs w:val="22"/>
                <w:rtl w:val="0"/>
              </w:rPr>
              <w:t xml:space="preserve">C. Stephenson reported on recent developments in the Graduate Council. P. McKimmy will report back on Senate bylaws Graduate Council.</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7">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8">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9">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A">
            <w:pPr>
              <w:pageBreakBefore w:val="0"/>
              <w:spacing w:after="2.4" w:before="2.4" w:lineRule="auto"/>
              <w:rPr>
                <w:sz w:val="22"/>
                <w:szCs w:val="22"/>
              </w:rPr>
            </w:pPr>
            <w:r w:rsidDel="00000000" w:rsidR="00000000" w:rsidRPr="00000000">
              <w:rPr>
                <w:sz w:val="22"/>
                <w:szCs w:val="22"/>
                <w:rtl w:val="0"/>
              </w:rPr>
              <w:t xml:space="preserve">W. Gosnell sent letter to proposers. CAPP will await reply.</w:t>
            </w:r>
          </w:p>
          <w:p w:rsidR="00000000" w:rsidDel="00000000" w:rsidP="00000000" w:rsidRDefault="00000000" w:rsidRPr="00000000" w14:paraId="0000005B">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C">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D">
            <w:pPr>
              <w:pageBreakBefore w:val="0"/>
              <w:numPr>
                <w:ilvl w:val="0"/>
                <w:numId w:val="1"/>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5E">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5F">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0">
            <w:pPr>
              <w:pageBreakBefore w:val="0"/>
              <w:spacing w:after="2.4" w:before="2.4" w:lineRule="auto"/>
              <w:rPr>
                <w:sz w:val="22"/>
                <w:szCs w:val="22"/>
              </w:rPr>
            </w:pPr>
            <w:r w:rsidDel="00000000" w:rsidR="00000000" w:rsidRPr="00000000">
              <w:rPr>
                <w:sz w:val="22"/>
                <w:szCs w:val="22"/>
                <w:rtl w:val="0"/>
              </w:rPr>
              <w:t xml:space="preserve">Assigned to R. Minas for review and follow-up.</w:t>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1">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2">
            <w:pPr>
              <w:pageBreakBefore w:val="0"/>
              <w:numPr>
                <w:ilvl w:val="0"/>
                <w:numId w:val="1"/>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9">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3">
            <w:pPr>
              <w:pageBreakBefore w:val="0"/>
              <w:ind w:left="720" w:firstLine="0"/>
              <w:rPr>
                <w:sz w:val="22"/>
                <w:szCs w:val="22"/>
              </w:rPr>
            </w:pPr>
            <w:r w:rsidDel="00000000" w:rsidR="00000000" w:rsidRPr="00000000">
              <w:rPr>
                <w:sz w:val="22"/>
                <w:szCs w:val="22"/>
                <w:rtl w:val="0"/>
              </w:rPr>
              <w:t xml:space="preserve">4.15 Prior Learning Assessment Issue [</w:t>
            </w:r>
            <w:hyperlink r:id="rId10">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1">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4">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p w:rsidR="00000000" w:rsidDel="00000000" w:rsidP="00000000" w:rsidRDefault="00000000" w:rsidRPr="00000000" w14:paraId="0000006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6">
            <w:pPr>
              <w:pageBreakBefore w:val="0"/>
              <w:spacing w:after="2.4" w:before="2.4" w:lineRule="auto"/>
              <w:rPr>
                <w:sz w:val="22"/>
                <w:szCs w:val="22"/>
              </w:rPr>
            </w:pPr>
            <w:r w:rsidDel="00000000" w:rsidR="00000000" w:rsidRPr="00000000">
              <w:rPr>
                <w:sz w:val="22"/>
                <w:szCs w:val="22"/>
                <w:rtl w:val="0"/>
              </w:rPr>
              <w:t xml:space="preserve">Tabled</w:t>
            </w:r>
            <w:r w:rsidDel="00000000" w:rsidR="00000000" w:rsidRPr="00000000">
              <w:rPr>
                <w:sz w:val="22"/>
                <w:szCs w:val="22"/>
                <w:rtl w:val="0"/>
              </w:rPr>
              <w:t xml:space="preserve">. N. Zeigler &amp; P. McKimmy will continue research on other institutions’ practices in preparation to invite input from larger Senate body and form a proposal for CAPP resolution along with summarized input.</w:t>
            </w:r>
          </w:p>
        </w:tc>
      </w:tr>
      <w:tr>
        <w:trPr>
          <w:cantSplit w:val="0"/>
          <w:trHeight w:val="460" w:hRule="atLeast"/>
          <w:tblHeader w:val="0"/>
        </w:trPr>
        <w:tc>
          <w:tcPr>
            <w:tcBorders>
              <w:top w:color="d9d9d9" w:space="0" w:sz="4" w:val="single"/>
            </w:tcBorders>
          </w:tcPr>
          <w:p w:rsidR="00000000" w:rsidDel="00000000" w:rsidP="00000000" w:rsidRDefault="00000000" w:rsidRPr="00000000" w14:paraId="00000067">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8">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 Bachelor of Science in Construction Engineering in the College of Engineering</w:t>
            </w:r>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Resources</w:t>
              </w:r>
            </w:hyperlink>
            <w:r w:rsidDel="00000000" w:rsidR="00000000" w:rsidRPr="00000000">
              <w:rPr>
                <w:sz w:val="22"/>
                <w:szCs w:val="22"/>
                <w:rtl w:val="0"/>
              </w:rPr>
              <w:t xml:space="preserve">]</w:t>
            </w:r>
          </w:p>
          <w:p w:rsidR="00000000" w:rsidDel="00000000" w:rsidP="00000000" w:rsidRDefault="00000000" w:rsidRPr="00000000" w14:paraId="00000069">
            <w:pPr>
              <w:pageBreakBefore w:val="0"/>
              <w:ind w:left="720" w:firstLine="0"/>
              <w:rPr>
                <w:sz w:val="22"/>
                <w:szCs w:val="22"/>
              </w:rPr>
            </w:pPr>
            <w:r w:rsidDel="00000000" w:rsidR="00000000" w:rsidRPr="00000000">
              <w:rPr>
                <w:sz w:val="22"/>
                <w:szCs w:val="22"/>
                <w:rtl w:val="0"/>
              </w:rPr>
              <w:t xml:space="preserve">Authorization to Plan [</w:t>
            </w:r>
            <w:hyperlink r:id="rId14">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A">
            <w:pPr>
              <w:pageBreakBefore w:val="0"/>
              <w:ind w:left="1440" w:firstLine="0"/>
              <w:rPr>
                <w:sz w:val="22"/>
                <w:szCs w:val="22"/>
              </w:rPr>
            </w:pPr>
            <w:r w:rsidDel="00000000" w:rsidR="00000000" w:rsidRPr="00000000">
              <w:rPr>
                <w:rtl w:val="0"/>
              </w:rPr>
            </w:r>
          </w:p>
        </w:tc>
        <w:tc>
          <w:tcPr>
            <w:tcBorders>
              <w:top w:color="d9d9d9" w:space="0" w:sz="4" w:val="single"/>
            </w:tcBorders>
          </w:tcPr>
          <w:p w:rsidR="00000000" w:rsidDel="00000000" w:rsidP="00000000" w:rsidRDefault="00000000" w:rsidRPr="00000000" w14:paraId="0000006B">
            <w:pPr>
              <w:pageBreakBefore w:val="0"/>
              <w:spacing w:after="2.4" w:before="2.4" w:lineRule="auto"/>
              <w:rPr>
                <w:sz w:val="22"/>
                <w:szCs w:val="22"/>
              </w:rPr>
            </w:pPr>
            <w:r w:rsidDel="00000000" w:rsidR="00000000" w:rsidRPr="00000000">
              <w:rPr>
                <w:sz w:val="22"/>
                <w:szCs w:val="22"/>
                <w:rtl w:val="0"/>
              </w:rPr>
              <w:t xml:space="preserve">R. Minas drafted a resolution. W. Gosnell motioned to approve; C. Dennison seconded; unanimously approved.</w:t>
            </w:r>
          </w:p>
          <w:p w:rsidR="00000000" w:rsidDel="00000000" w:rsidP="00000000" w:rsidRDefault="00000000" w:rsidRPr="00000000" w14:paraId="0000006C">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tcBorders>
              <w:top w:color="d9d9d9" w:space="0" w:sz="4" w:val="single"/>
            </w:tcBorders>
          </w:tcPr>
          <w:p w:rsidR="00000000" w:rsidDel="00000000" w:rsidP="00000000" w:rsidRDefault="00000000" w:rsidRPr="00000000" w14:paraId="0000006D">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E">
            <w:pPr>
              <w:keepNext w:val="1"/>
              <w:pageBreakBefore w:val="0"/>
              <w:numPr>
                <w:ilvl w:val="0"/>
                <w:numId w:val="4"/>
              </w:numPr>
              <w:ind w:left="720" w:hanging="360"/>
              <w:rPr>
                <w:sz w:val="22"/>
                <w:szCs w:val="22"/>
              </w:rPr>
            </w:pPr>
            <w:r w:rsidDel="00000000" w:rsidR="00000000" w:rsidRPr="00000000">
              <w:rPr>
                <w:i w:val="1"/>
                <w:sz w:val="22"/>
                <w:szCs w:val="22"/>
                <w:u w:val="single"/>
                <w:rtl w:val="0"/>
              </w:rPr>
              <w:t xml:space="preserve">Proposal for an Undergraduate Certificate in Earth and Planetary Exploration</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w:t>
            </w:r>
          </w:p>
        </w:tc>
        <w:tc>
          <w:tcPr>
            <w:tcBorders>
              <w:top w:color="d9d9d9" w:space="0" w:sz="4" w:val="single"/>
            </w:tcBorders>
          </w:tcPr>
          <w:p w:rsidR="00000000" w:rsidDel="00000000" w:rsidP="00000000" w:rsidRDefault="00000000" w:rsidRPr="00000000" w14:paraId="0000006F">
            <w:pPr>
              <w:keepNext w:val="1"/>
              <w:pageBreakBefore w:val="0"/>
              <w:rPr>
                <w:sz w:val="22"/>
                <w:szCs w:val="22"/>
              </w:rPr>
            </w:pPr>
            <w:r w:rsidDel="00000000" w:rsidR="00000000" w:rsidRPr="00000000">
              <w:rPr>
                <w:sz w:val="22"/>
                <w:szCs w:val="22"/>
                <w:rtl w:val="0"/>
              </w:rPr>
              <w:t xml:space="preserve">K. Govella and T. </w:t>
            </w:r>
            <w:r w:rsidDel="00000000" w:rsidR="00000000" w:rsidRPr="00000000">
              <w:rPr>
                <w:sz w:val="22"/>
                <w:szCs w:val="22"/>
                <w:rtl w:val="0"/>
              </w:rPr>
              <w:t xml:space="preserve">Nguyen to review.</w:t>
            </w:r>
            <w:r w:rsidDel="00000000" w:rsidR="00000000" w:rsidRPr="00000000">
              <w:rPr>
                <w:rtl w:val="0"/>
              </w:rPr>
            </w:r>
          </w:p>
          <w:p w:rsidR="00000000" w:rsidDel="00000000" w:rsidP="00000000" w:rsidRDefault="00000000" w:rsidRPr="00000000" w14:paraId="00000070">
            <w:pPr>
              <w:keepNext w:val="1"/>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1">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i w:val="1"/>
                <w:sz w:val="22"/>
                <w:szCs w:val="22"/>
                <w:u w:val="single"/>
                <w:rtl w:val="0"/>
              </w:rPr>
              <w:t xml:space="preserve">Revision to Undergraduate Academic Actions Policy</w:t>
            </w:r>
            <w:r w:rsidDel="00000000" w:rsidR="00000000" w:rsidRPr="00000000">
              <w:rPr>
                <w:sz w:val="22"/>
                <w:szCs w:val="22"/>
                <w:rtl w:val="0"/>
              </w:rPr>
              <w:t xml:space="preserve"> [</w:t>
            </w:r>
            <w:hyperlink r:id="rId16">
              <w:r w:rsidDel="00000000" w:rsidR="00000000" w:rsidRPr="00000000">
                <w:rPr>
                  <w:color w:val="1155cc"/>
                  <w:sz w:val="22"/>
                  <w:szCs w:val="22"/>
                  <w:u w:val="single"/>
                  <w:rtl w:val="0"/>
                </w:rPr>
                <w:t xml:space="preserve">Memo</w:t>
              </w:r>
            </w:hyperlink>
            <w:r w:rsidDel="00000000" w:rsidR="00000000" w:rsidRPr="00000000">
              <w:rPr>
                <w:sz w:val="22"/>
                <w:szCs w:val="22"/>
                <w:rtl w:val="0"/>
              </w:rPr>
              <w:t xml:space="preserve">]</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p w:rsidR="00000000" w:rsidDel="00000000" w:rsidP="00000000" w:rsidRDefault="00000000" w:rsidRPr="00000000" w14:paraId="00000074">
            <w:pPr>
              <w:keepNext w:val="1"/>
              <w:pageBreakBefore w:val="0"/>
              <w:ind w:left="0" w:firstLine="0"/>
              <w:rPr>
                <w:sz w:val="22"/>
                <w:szCs w:val="22"/>
              </w:rPr>
            </w:pPr>
            <w:r w:rsidDel="00000000" w:rsidR="00000000" w:rsidRPr="00000000">
              <w:rPr>
                <w:sz w:val="22"/>
                <w:szCs w:val="22"/>
                <w:rtl w:val="0"/>
              </w:rPr>
              <w:t xml:space="preserve">P. McKimmy will follow up.</w:t>
              <w:br w:type="textWrapping"/>
            </w:r>
          </w:p>
        </w:tc>
      </w:tr>
      <w:tr>
        <w:trPr>
          <w:cantSplit w:val="0"/>
          <w:trHeight w:val="580" w:hRule="atLeast"/>
          <w:tblHeader w:val="0"/>
        </w:trPr>
        <w:tc>
          <w:tcPr/>
          <w:p w:rsidR="00000000" w:rsidDel="00000000" w:rsidP="00000000" w:rsidRDefault="00000000" w:rsidRPr="00000000" w14:paraId="00000075">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January 23, 2019 in Hawaii Hall 208 from 3:00 PM-5:00 PM.</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79">
            <w:pPr>
              <w:keepNext w:val="1"/>
              <w:pageBreakBefore w:val="0"/>
              <w:rPr>
                <w:sz w:val="22"/>
                <w:szCs w:val="22"/>
              </w:rPr>
            </w:pPr>
            <w:r w:rsidDel="00000000" w:rsidR="00000000" w:rsidRPr="00000000">
              <w:rPr>
                <w:sz w:val="22"/>
                <w:szCs w:val="22"/>
                <w:rtl w:val="0"/>
              </w:rPr>
              <w:t xml:space="preserve">Motion by W. Gosnell to adjourn; seconded by N. Ziegler; unanimously approved. Meeting adjourned at 4:33 PM.</w:t>
            </w:r>
          </w:p>
          <w:p w:rsidR="00000000" w:rsidDel="00000000" w:rsidP="00000000" w:rsidRDefault="00000000" w:rsidRPr="00000000" w14:paraId="0000007A">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7B">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sz w:val="22"/>
          <w:szCs w:val="22"/>
          <w:rtl w:val="0"/>
        </w:rPr>
        <w:t xml:space="preserve">Approved on January 23, 2018 with 8 votes in favor of approval and 0 against.</w:t>
      </w:r>
      <w:r w:rsidDel="00000000" w:rsidR="00000000" w:rsidRPr="00000000">
        <w:rPr>
          <w:rtl w:val="0"/>
        </w:rPr>
      </w:r>
    </w:p>
    <w:sectPr>
      <w:headerReference r:id="rId17" w:type="default"/>
      <w:footerReference r:id="rId1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0">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ek1VklEuAOxp15vGAcoq3WrqX8zqMgm8ssDVUCXwJM/edit" TargetMode="External"/><Relationship Id="rId10" Type="http://schemas.openxmlformats.org/officeDocument/2006/relationships/hyperlink" Target="https://web.archive.org/web/20161105142634/http://www.hawaii.edu:80/uhmfs/issues/index.html" TargetMode="External"/><Relationship Id="rId13" Type="http://schemas.openxmlformats.org/officeDocument/2006/relationships/hyperlink" Target="https://drive.google.com/open?id=1R3JPOpfTF4Z9vmnm1f-jy3gFmB98znxm" TargetMode="External"/><Relationship Id="rId12" Type="http://schemas.openxmlformats.org/officeDocument/2006/relationships/hyperlink" Target="https://drive.google.com/open?id=16c3EzxEKItEr5Ioi_sIuejW8qCohPH-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ZOnZqmSNHZqY-ri8riM1MvIkpjBivh2A" TargetMode="External"/><Relationship Id="rId15" Type="http://schemas.openxmlformats.org/officeDocument/2006/relationships/hyperlink" Target="https://drive.google.com/open?id=1QIhBBCrZ-Qt3v_eDnWUX2NYva0P408zA" TargetMode="External"/><Relationship Id="rId14" Type="http://schemas.openxmlformats.org/officeDocument/2006/relationships/hyperlink" Target="https://drive.google.com/open?id=0B8q1azgYoGtWUGZYYTRPaGdSTnFYNFM4LWRhbVlKdndHLU1J" TargetMode="External"/><Relationship Id="rId17" Type="http://schemas.openxmlformats.org/officeDocument/2006/relationships/header" Target="header1.xml"/><Relationship Id="rId16" Type="http://schemas.openxmlformats.org/officeDocument/2006/relationships/hyperlink" Target="https://drive.google.com/open?id=1b4GPvwHfBaqh1fMHwPzWkdcDUayHCvvm" TargetMode="External"/><Relationship Id="rId5" Type="http://schemas.openxmlformats.org/officeDocument/2006/relationships/styles" Target="styles.xml"/><Relationship Id="rId6" Type="http://schemas.openxmlformats.org/officeDocument/2006/relationships/hyperlink" Target="https://docs.google.com/document/d/1_1YjnWhYMYb1iXnmnnia45WnseF7gJNGEGVP8ZquuA8/edit?usp=sharing" TargetMode="External"/><Relationship Id="rId18" Type="http://schemas.openxmlformats.org/officeDocument/2006/relationships/footer" Target="footer1.xml"/><Relationship Id="rId7" Type="http://schemas.openxmlformats.org/officeDocument/2006/relationships/hyperlink" Target="https://docs.google.com/document/d/1O_6RoYmj_7xkt8C8RBq7cXM6EkTdqpFDxiiQcA9KPtk/edit?usp=sharing" TargetMode="External"/><Relationship Id="rId8" Type="http://schemas.openxmlformats.org/officeDocument/2006/relationships/hyperlink" Target="https://drive.google.com/open?id=0B8q1azgYoGtWWjQyVUtwQjYzNHNaVHZXa3NFcnZsVTVBdkl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