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COMMITTEE ON ASSESSMENT (MAC)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tabs>
          <w:tab w:val="left" w:leader="none" w:pos="2160"/>
        </w:tabs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Thursday, March 23, 2017 (repeated April 3, 2017 –for those unable to attend on March 23)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 xml:space="preserve">Hawai‘i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08.0" w:type="dxa"/>
        <w:tblBorders>
          <w:top w:color="767171" w:space="0" w:sz="4" w:val="single"/>
          <w:left w:color="767171" w:space="0" w:sz="4" w:val="single"/>
          <w:bottom w:color="767171" w:space="0" w:sz="4" w:val="single"/>
          <w:right w:color="767171" w:space="0" w:sz="4" w:val="single"/>
          <w:insideH w:color="767171" w:space="0" w:sz="4" w:val="single"/>
          <w:insideV w:color="767171" w:space="0" w:sz="4" w:val="single"/>
        </w:tblBorders>
        <w:tblLayout w:type="fixed"/>
        <w:tblLook w:val="0000"/>
      </w:tblPr>
      <w:tblGrid>
        <w:gridCol w:w="2358"/>
        <w:gridCol w:w="360"/>
        <w:gridCol w:w="2430"/>
        <w:gridCol w:w="360"/>
        <w:gridCol w:w="1800"/>
        <w:gridCol w:w="360"/>
        <w:gridCol w:w="2700"/>
        <w:gridCol w:w="360"/>
        <w:tblGridChange w:id="0">
          <w:tblGrid>
            <w:gridCol w:w="2358"/>
            <w:gridCol w:w="360"/>
            <w:gridCol w:w="2430"/>
            <w:gridCol w:w="360"/>
            <w:gridCol w:w="1800"/>
            <w:gridCol w:w="360"/>
            <w:gridCol w:w="270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EX-OFFICIO / NON-VOTING/ GUESTS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BOVARD, Penny-Bee (Secretary)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PAGKALINAWAN, Leticia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TSE, Alice (Chair)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(ASUH)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BUENCONSEJO-LUM,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KRAFT-TERRY, Stephanie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" w:before="2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WESTFALL-SENDA, Mandy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Jay Purvis (GSO)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CHUANG, Hui-ya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TANNERS, Adam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WRIGHT, Robert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HILL, Yao (AO)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" w:before="2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STITT-BERGH, Monica (AO)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REI, Sarita (SEC)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AUNE, Krystina (OGE)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MAEDA, Julienne (OGE)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LeSAUX, Olivier (JABSOM)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ind w:left="7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3:00 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No quorum present; minutes of 11/21/2016 deferred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The March 23 meeting was duplicated on April 3 to accommodate the rest of the committee members’ schedules. Notes (not Minutes) taken since quorum was not achieved on the March 23 or the April 3 meetings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Deferred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OLD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Continued discussion over role of MAC (RE: develop methodology for departments to assess their impact on student learning OR assessment of UHM administration)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b w:val="0"/>
                <w:color w:val="345a8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Deferred, given recent change in the SEC leadership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NEW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of the Graduate ILOs to UHMFS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required for presentation of the Graduate ILOs: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Sarita: Create a resolution/appropriate document and then send that along with the ILOs to SEC for the Senate Agenda.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Timeline: for the April 19 meeting, submit at least a week before the Faculty Senate Meeting, i.e., April 10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Julie M.: reviewed and approved by Grad Council, reviewed and approved by all grad chairs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Monica &amp; Alice stated the first version of the Adv. Degree ILOs is dated 2014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the motion after the Undergraduate Degree ILOs Motion (approved MFS on May 2, 2012)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of the Motion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April 19—CANNOT attend: Lee, Alice, Monica, Krystyna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Adam to present the motion at MFS meeting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of the motion at the April 19 MFS meeting is pending the SEC’s approval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April 19, emphasize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of revision and review and discussion that has already occurred (by whom, how many, etc.)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ACTION: Alice &amp; Monica will craft a Motion and FAQs based on the undergraduate ILOs, circulate, and plan to send to SEC no later than Monday, April 10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of statement from Monica regarding the FS by-laws and that CAB may be considering adding GEC to the by-laws as a Permanent Committee.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Sarita said CAB did not discuss this at its last meeting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Alice &amp; Olivier noted that it would help to reiterate that the MAC By-laws clearly state that MAC is a Permanent Committee.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Discussion of whether the name “Assessment Committee” is appropriate given that “assessment” is easy to misunderstand and does not reflect the list of responsibilities given in the by-laws.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Need a resolution proposing the name change because “assessment” is too broad and therefore confusing and whereas the term “educational effectiveness” better describes the already-approved responsibilities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Options brainstormed during the meeting: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Assessment Committee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Assessment Committee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Committee on Educational Effectiveness CEE)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Assessment Committee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1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ACTION: Alice and Monica to craft a Motion to rename the Committee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 Committee meeting for Spring 2017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Deferred, need entire committees’ input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Pending outcome of MFS presentations of the 2 Motions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A. Tse will send reminder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4:00 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Respectfully submitted by Monica Stitt-Bergh (March 23, 2017)/Alice Tse (April 3, 2017).</w:t>
      </w:r>
    </w:p>
    <w:p w:rsidR="00000000" w:rsidDel="00000000" w:rsidP="00000000" w:rsidRDefault="00000000" w:rsidRPr="00000000" w14:paraId="0000009E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Reviewed on 5/19/17 with 6votes in favor of approval and 0 against.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pageBreakBefore w:val="0"/>
      <w:jc w:val="right"/>
      <w:rPr>
        <w:b w:val="0"/>
        <w:smallCaps w:val="0"/>
        <w:sz w:val="20"/>
        <w:szCs w:val="2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vertAlign w:val="baseline"/>
        <w:rtl w:val="0"/>
      </w:rPr>
      <w:t xml:space="preserve">University of Hawaiʻi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pageBreakBefore w:val="0"/>
      <w:jc w:val="right"/>
      <w:rPr>
        <w:sz w:val="20"/>
        <w:szCs w:val="20"/>
        <w:vertAlign w:val="baseline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vertAlign w:val="baseline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22631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631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