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EDUCATIONAL EFFECTIVENESS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23, 2017      </w:t>
      </w:r>
      <w:r w:rsidDel="00000000" w:rsidR="00000000" w:rsidRPr="00000000">
        <w:rPr>
          <w:b w:val="1"/>
          <w:sz w:val="22"/>
          <w:szCs w:val="22"/>
          <w:rtl w:val="0"/>
        </w:rPr>
        <w:t xml:space="preserve">10:00 AM to 11:00 AM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710"/>
        <w:gridCol w:w="990"/>
        <w:tblGridChange w:id="0">
          <w:tblGrid>
            <w:gridCol w:w="2205"/>
            <w:gridCol w:w="431.99999999999994"/>
            <w:gridCol w:w="2550"/>
            <w:gridCol w:w="431.99999999999994"/>
            <w:gridCol w:w="1980"/>
            <w:gridCol w:w="431.99999999999994"/>
            <w:gridCol w:w="171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Jacqueline Ng-Osorio</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rtl w:val="0"/>
              </w:rPr>
            </w:r>
          </w:p>
        </w:tc>
        <w:tc>
          <w:tcPr/>
          <w:p w:rsidR="00000000" w:rsidDel="00000000" w:rsidP="00000000" w:rsidRDefault="00000000" w:rsidRPr="00000000" w14:paraId="0000001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Hui-ya Chuang</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Chapman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Leticia Pagkalinawan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Mandy Westfall-Senda</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Amy Brown, Vice-Chair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Yao Hill</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Stephanie Kraft-Terry</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Konia Freitas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Monica Stitt-Bergh</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Thomas Conway,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Christine Sorensen Irvine, SEC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John Kinder, Staff</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98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700"/>
        <w:gridCol w:w="3375"/>
        <w:tblGridChange w:id="0">
          <w:tblGrid>
            <w:gridCol w:w="1905"/>
            <w:gridCol w:w="5700"/>
            <w:gridCol w:w="337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Tom Conway  at 10:05 AM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The minutes of the October 4, 2017 had been circulated  electronically for comments.</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W. Chapman to approve the October 4, 2017 minutes; seconded by K. Freitas.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numPr>
                <w:ilvl w:val="0"/>
                <w:numId w:val="3"/>
              </w:numPr>
              <w:spacing w:after="2.4" w:before="2.4" w:lineRule="auto"/>
              <w:ind w:left="720" w:hanging="360"/>
              <w:rPr>
                <w:color w:val="000000"/>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1"/>
              </w:numPr>
              <w:ind w:left="720" w:hanging="360"/>
              <w:rPr>
                <w:sz w:val="22"/>
                <w:szCs w:val="22"/>
              </w:rPr>
            </w:pPr>
            <w:r w:rsidDel="00000000" w:rsidR="00000000" w:rsidRPr="00000000">
              <w:rPr>
                <w:sz w:val="22"/>
                <w:szCs w:val="22"/>
                <w:rtl w:val="0"/>
              </w:rPr>
              <w:t xml:space="preserve">None</w:t>
              <w:br w:type="textWrapping"/>
            </w:r>
          </w:p>
          <w:p w:rsidR="00000000" w:rsidDel="00000000" w:rsidP="00000000" w:rsidRDefault="00000000" w:rsidRPr="00000000" w14:paraId="00000047">
            <w:pPr>
              <w:pageBreakBefore w:val="0"/>
              <w:rPr>
                <w:sz w:val="22"/>
                <w:szCs w:val="22"/>
              </w:rPr>
            </w:pPr>
            <w:r w:rsidDel="00000000" w:rsidR="00000000" w:rsidRPr="00000000">
              <w:rPr>
                <w:rtl w:val="0"/>
              </w:rPr>
            </w:r>
          </w:p>
        </w:tc>
        <w:tc>
          <w:tcPr/>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A">
            <w:pPr>
              <w:pageBreakBefore w:val="0"/>
              <w:numPr>
                <w:ilvl w:val="0"/>
                <w:numId w:val="4"/>
              </w:numPr>
              <w:ind w:left="720" w:hanging="360"/>
              <w:rPr>
                <w:sz w:val="22"/>
                <w:szCs w:val="22"/>
                <w:u w:val="none"/>
              </w:rPr>
            </w:pPr>
            <w:r w:rsidDel="00000000" w:rsidR="00000000" w:rsidRPr="00000000">
              <w:rPr>
                <w:sz w:val="22"/>
                <w:szCs w:val="22"/>
                <w:rtl w:val="0"/>
              </w:rPr>
              <w:t xml:space="preserve">Approve next CEE meeting schedule</w:t>
              <w:br w:type="textWrapping"/>
              <w:br w:type="textWrapping"/>
              <w:br w:type="textWrapping"/>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numPr>
                <w:ilvl w:val="0"/>
                <w:numId w:val="4"/>
              </w:numPr>
              <w:ind w:left="720" w:hanging="360"/>
              <w:rPr>
                <w:sz w:val="22"/>
                <w:szCs w:val="22"/>
                <w:u w:val="none"/>
              </w:rPr>
            </w:pPr>
            <w:r w:rsidDel="00000000" w:rsidR="00000000" w:rsidRPr="00000000">
              <w:rPr>
                <w:sz w:val="22"/>
                <w:szCs w:val="22"/>
                <w:rtl w:val="0"/>
              </w:rPr>
              <w:t xml:space="preserve">High DFIW courses</w:t>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sz w:val="22"/>
                <w:szCs w:val="22"/>
                <w:u w:val="none"/>
              </w:rPr>
            </w:pPr>
            <w:r w:rsidDel="00000000" w:rsidR="00000000" w:rsidRPr="00000000">
              <w:rPr>
                <w:sz w:val="22"/>
                <w:szCs w:val="22"/>
                <w:rtl w:val="0"/>
              </w:rPr>
              <w:t xml:space="preserve">Support and outreach for programs needing assistance with  Assessment process. Student quantitative reasoning is a challenge. Develop protocol based on best practices. Identify key stakeholders for policy development. Identify partnerships, etc. Lack of motivation, incentives needed. Provide support for faculty. 36 programs not completed for ILOs (in various steps of the process).</w:t>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Currently there are two areas that need CEE's attention: assessment at program level and assessment at institutional level. At the program level, it is possible to for MAC to reach out to programs needing assistance with assessment process. Currently there are 36 programs that still need to complete the program assessment cycle. At the institutional level, CEE can act upon institutional assessment results. Start with identifying key stakeholders for policy development and identify partnerships between offices. We need to provide support for faculty conducting assessment as well as using assessment for supporting teaching and learning.</w:t>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numPr>
                <w:ilvl w:val="0"/>
                <w:numId w:val="4"/>
              </w:numPr>
              <w:ind w:left="720" w:hanging="360"/>
              <w:rPr>
                <w:sz w:val="22"/>
                <w:szCs w:val="22"/>
                <w:u w:val="none"/>
              </w:rPr>
            </w:pPr>
            <w:r w:rsidDel="00000000" w:rsidR="00000000" w:rsidRPr="00000000">
              <w:rPr>
                <w:sz w:val="22"/>
                <w:szCs w:val="22"/>
                <w:rtl w:val="0"/>
              </w:rPr>
              <w:t xml:space="preserve">Professional development support based on successful models on campus.  </w:t>
            </w:r>
            <w:r w:rsidDel="00000000" w:rsidR="00000000" w:rsidRPr="00000000">
              <w:rPr>
                <w:sz w:val="22"/>
                <w:szCs w:val="22"/>
                <w:rtl w:val="0"/>
              </w:rPr>
              <w:t xml:space="preserve">Yao Hill and Hui-Ya Chuang will write up proposal for providing assistance.</w:t>
            </w:r>
            <w:r w:rsidDel="00000000" w:rsidR="00000000" w:rsidRPr="00000000">
              <w:rPr>
                <w:rtl w:val="0"/>
              </w:rPr>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numPr>
                <w:ilvl w:val="0"/>
                <w:numId w:val="4"/>
              </w:numPr>
              <w:ind w:left="720" w:hanging="360"/>
              <w:rPr>
                <w:sz w:val="22"/>
                <w:szCs w:val="22"/>
                <w:u w:val="none"/>
              </w:rPr>
            </w:pPr>
            <w:r w:rsidDel="00000000" w:rsidR="00000000" w:rsidRPr="00000000">
              <w:rPr>
                <w:sz w:val="22"/>
                <w:szCs w:val="22"/>
                <w:rtl w:val="0"/>
              </w:rPr>
              <w:t xml:space="preserve">Update assessment reports to identify why assessments are not being completed.</w:t>
            </w:r>
          </w:p>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numPr>
                <w:ilvl w:val="0"/>
                <w:numId w:val="4"/>
              </w:numPr>
              <w:ind w:left="720" w:hanging="360"/>
              <w:rPr>
                <w:sz w:val="22"/>
                <w:szCs w:val="22"/>
                <w:u w:val="none"/>
              </w:rPr>
            </w:pPr>
            <w:r w:rsidDel="00000000" w:rsidR="00000000" w:rsidRPr="00000000">
              <w:rPr>
                <w:sz w:val="22"/>
                <w:szCs w:val="22"/>
                <w:rtl w:val="0"/>
              </w:rPr>
              <w:t xml:space="preserve">The annual assessment changed to 2-3 years cycles were welcomed. If required every 3 years campus wide then scaffold support throughout the 3 year period.</w:t>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rPr>
                <w:sz w:val="22"/>
                <w:szCs w:val="22"/>
                <w:u w:val="none"/>
              </w:rPr>
            </w:pPr>
            <w:r w:rsidDel="00000000" w:rsidR="00000000" w:rsidRPr="00000000">
              <w:rPr>
                <w:sz w:val="22"/>
                <w:szCs w:val="22"/>
                <w:rtl w:val="0"/>
              </w:rPr>
              <w:t xml:space="preserve">Monica and Yao will present the ILO results in next meeting (November 13)</w:t>
              <w:br w:type="textWrapping"/>
              <w:br w:type="textWrapping"/>
              <w:br w:type="textWrapping"/>
              <w:br w:type="textWrapping"/>
              <w:br w:type="textWrapping"/>
              <w:br w:type="textWrapping"/>
            </w:r>
          </w:p>
        </w:tc>
        <w:tc>
          <w:tcPr/>
          <w:p w:rsidR="00000000" w:rsidDel="00000000" w:rsidP="00000000" w:rsidRDefault="00000000" w:rsidRPr="00000000" w14:paraId="00000059">
            <w:pPr>
              <w:pageBreakBefore w:val="0"/>
              <w:numPr>
                <w:ilvl w:val="0"/>
                <w:numId w:val="2"/>
              </w:numPr>
              <w:spacing w:after="0" w:afterAutospacing="0" w:before="2.4" w:lineRule="auto"/>
              <w:ind w:left="720" w:hanging="360"/>
              <w:rPr>
                <w:sz w:val="22"/>
                <w:szCs w:val="22"/>
              </w:rPr>
            </w:pPr>
            <w:r w:rsidDel="00000000" w:rsidR="00000000" w:rsidRPr="00000000">
              <w:rPr>
                <w:sz w:val="22"/>
                <w:szCs w:val="22"/>
                <w:rtl w:val="0"/>
              </w:rPr>
              <w:t xml:space="preserve">Approved meeting on November 13th from 10:00 AM - 11:00 AM in HH 208.</w:t>
              <w:br w:type="textWrapping"/>
            </w:r>
          </w:p>
          <w:p w:rsidR="00000000" w:rsidDel="00000000" w:rsidP="00000000" w:rsidRDefault="00000000" w:rsidRPr="00000000" w14:paraId="0000005A">
            <w:pPr>
              <w:pageBreakBefore w:val="0"/>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No action.</w:t>
              <w:br w:type="textWrapping"/>
            </w:r>
          </w:p>
          <w:p w:rsidR="00000000" w:rsidDel="00000000" w:rsidP="00000000" w:rsidRDefault="00000000" w:rsidRPr="00000000" w14:paraId="0000005B">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 action.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C">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Yao and Hui-Ya will prepare report.</w:t>
            </w:r>
            <w:r w:rsidDel="00000000" w:rsidR="00000000" w:rsidRPr="00000000">
              <w:rPr>
                <w:sz w:val="22"/>
                <w:szCs w:val="22"/>
                <w:rtl w:val="0"/>
              </w:rPr>
              <w:br w:type="textWrapping"/>
              <w:br w:type="textWrapping"/>
              <w:br w:type="textWrapping"/>
            </w:r>
          </w:p>
          <w:p w:rsidR="00000000" w:rsidDel="00000000" w:rsidP="00000000" w:rsidRDefault="00000000" w:rsidRPr="00000000" w14:paraId="0000005D">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 action.</w:t>
              <w:br w:type="textWrapping"/>
              <w:br w:type="textWrapping"/>
            </w:r>
          </w:p>
          <w:p w:rsidR="00000000" w:rsidDel="00000000" w:rsidP="00000000" w:rsidRDefault="00000000" w:rsidRPr="00000000" w14:paraId="0000005E">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 action.</w:t>
              <w:br w:type="textWrapping"/>
              <w:br w:type="textWrapping"/>
              <w:br w:type="textWrapping"/>
              <w:br w:type="textWrapping"/>
            </w:r>
          </w:p>
          <w:p w:rsidR="00000000" w:rsidDel="00000000" w:rsidP="00000000" w:rsidRDefault="00000000" w:rsidRPr="00000000" w14:paraId="0000005F">
            <w:pPr>
              <w:pageBreakBefore w:val="0"/>
              <w:numPr>
                <w:ilvl w:val="0"/>
                <w:numId w:val="2"/>
              </w:numPr>
              <w:spacing w:after="2.4" w:before="0" w:beforeAutospacing="0" w:lineRule="auto"/>
              <w:ind w:left="720" w:hanging="360"/>
              <w:rPr>
                <w:sz w:val="22"/>
                <w:szCs w:val="22"/>
                <w:u w:val="none"/>
              </w:rPr>
            </w:pPr>
            <w:r w:rsidDel="00000000" w:rsidR="00000000" w:rsidRPr="00000000">
              <w:rPr>
                <w:sz w:val="22"/>
                <w:szCs w:val="22"/>
                <w:rtl w:val="0"/>
              </w:rPr>
              <w:t xml:space="preserve">Approved.</w:t>
            </w:r>
          </w:p>
        </w:tc>
      </w:tr>
      <w:tr>
        <w:trPr>
          <w:cantSplit w:val="0"/>
          <w:trHeight w:val="58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1">
            <w:pPr>
              <w:pageBreakBefore w:val="0"/>
              <w:rPr>
                <w:sz w:val="20"/>
                <w:szCs w:val="20"/>
              </w:rPr>
            </w:pP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next CEE meeting will be on  November 13, 2017 in Hawaii Hall 208 from 10:00 AM - 11:00 AM.</w:t>
            </w: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W. Chapman; seconded by K. Freitas.  Passed unanimously. Meeting adjourned at 11:05 AM</w:t>
            </w:r>
            <w:r w:rsidDel="00000000" w:rsidR="00000000" w:rsidRPr="00000000">
              <w:rPr>
                <w:rtl w:val="0"/>
              </w:rPr>
            </w:r>
          </w:p>
        </w:tc>
      </w:tr>
    </w:tbl>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Respectfully submitted by Thomas Conway, Chair</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sz w:val="22"/>
          <w:szCs w:val="22"/>
          <w:rtl w:val="0"/>
        </w:rPr>
        <w:t xml:space="preserve">Approved on December 4, 2017 with 6 votes in favor of approval and 0 against.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B">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