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COMMITTEE ON FACULTY SERVICE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Tuesday, October 22, 2013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Hawai‘i Hall 2078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8"/>
        <w:gridCol w:w="270"/>
        <w:gridCol w:w="2340"/>
        <w:gridCol w:w="270"/>
        <w:gridCol w:w="2340"/>
        <w:gridCol w:w="270"/>
        <w:gridCol w:w="1890"/>
        <w:gridCol w:w="810"/>
        <w:tblGridChange w:id="0">
          <w:tblGrid>
            <w:gridCol w:w="2538"/>
            <w:gridCol w:w="270"/>
            <w:gridCol w:w="2340"/>
            <w:gridCol w:w="270"/>
            <w:gridCol w:w="234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AGCAOILI,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Aurelio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FULFORD,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Catherine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RAWSON,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James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Xu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OISHI,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Martin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DUNN,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 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PAGANO,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Ian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FELIPE,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Miguel 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ROBERTS,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Stacey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2:36p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Kristin kicked-off the meeting by summarizing the CFS Procedures document (draft). She directed our attention to the primary decision of how to gather names/nominations for appointment to Mānoa-wide committees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CFS likes statements included in self-nominations</w:t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—Stacey seconds this as a way to help ensure diversity and informed decisions</w:t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—Will we modify request for nominations in the future?</w:t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spacing w:after="2.4" w:before="2.4" w:lineRule="auto"/>
              <w:rPr>
                <w:b w:val="1"/>
                <w:color w:val="335b8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Changes to solicitation for self-nomination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CFS agrees that we wont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require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a paragraph indicating interest but revise call to say that ‘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priority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is given to those who provide a statement of interest.’</w:t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We also want to allow both a single, attached document and/or a link to a webpage.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5b8a"/>
                <w:sz w:val="22"/>
                <w:szCs w:val="22"/>
                <w:rtl w:val="0"/>
              </w:rPr>
              <w:t xml:space="preserve">Kristin will update manual to reflect our revisions.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Regarding Diversity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would address the diversity of the candidates holistically with an emphasis on overall quality and representation. 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3:21p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Miguel Felipe.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January 21, 2014 unanimously.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52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101600</wp:posOffset>
              </wp:positionV>
              <wp:extent cx="4381500" cy="6858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54298" y="3437100"/>
                        <a:ext cx="4383405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COMMITTEE ON FACULTY SERVICE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101600</wp:posOffset>
              </wp:positionV>
              <wp:extent cx="4381500" cy="6858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00" cy="685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