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FACULTY SERVICE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March 18, 2014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Hall, Rm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8"/>
        <w:gridCol w:w="270"/>
        <w:gridCol w:w="2340"/>
        <w:gridCol w:w="270"/>
        <w:gridCol w:w="2340"/>
        <w:gridCol w:w="270"/>
        <w:gridCol w:w="1890"/>
        <w:gridCol w:w="810"/>
        <w:tblGridChange w:id="0">
          <w:tblGrid>
            <w:gridCol w:w="2538"/>
            <w:gridCol w:w="270"/>
            <w:gridCol w:w="2340"/>
            <w:gridCol w:w="270"/>
            <w:gridCol w:w="234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SORIA,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Julius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FULFORD,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Catherine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RAWSON,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James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Xu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OISHI,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ROBERTSON,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Scott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DUNN,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PAGANO,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Ian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FELIPE,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ROBERTS,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Stacey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Called to order by R Dunn, chairperson, 3:10p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from January 21, 2014, meeting approved unanimously with minor adjustments.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2.4" w:before="2.4" w:lineRule="auto"/>
              <w:ind w:left="-1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As per Kristin’s assignment, each cmte member reported before or during the mtng their suggested rankings for Mānoa-wide committees. Needs are reported by each committee and faculty have self-nominated themselves via an online survey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committee spent a significant amount of time ranking as a group; many committees weren’t pre-ranked. Kristin guided us clearly and all needed rankings were determined by the CFS.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Committee discussed the vacancies for the 2014–15 senate and the process to fill positions—of special concern are areas sensitive to SEC/CFS appointments. The Committee decided to solicit, one last time, volunteers noting that if no one comes forth, the spot will remain vacant and the CFS will not appoint.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meeting adjourned at 4:30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Miguel Felipe.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Date</w:t>
      </w:r>
      <w:r w:rsidDel="00000000" w:rsidR="00000000" w:rsidRPr="00000000">
        <w:rPr>
          <w:sz w:val="22"/>
          <w:szCs w:val="22"/>
          <w:rtl w:val="0"/>
        </w:rPr>
        <w:t xml:space="preserve"> with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4F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437100"/>
                        <a:ext cx="438340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FACULTY SERVICE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