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April 15, 2014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Hall, Rm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270"/>
        <w:gridCol w:w="2340"/>
        <w:gridCol w:w="270"/>
        <w:gridCol w:w="2340"/>
        <w:gridCol w:w="270"/>
        <w:gridCol w:w="1890"/>
        <w:gridCol w:w="810"/>
        <w:tblGridChange w:id="0">
          <w:tblGrid>
            <w:gridCol w:w="2538"/>
            <w:gridCol w:w="270"/>
            <w:gridCol w:w="2340"/>
            <w:gridCol w:w="270"/>
            <w:gridCol w:w="234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SORIA,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Julius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FULFORD,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Catherine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RAWSON,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James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Xu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OISHI,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Scott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DUNN,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PAGANO,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Ian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FELIPE,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Called to order by R Dunn, chairperson, 3:05p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March 18, 2014, meeting approved unanimously with minor adjustments (C. Fulford and I. Pagano marked as Excused)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.4" w:before="2.4" w:lineRule="auto"/>
              <w:ind w:left="-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CFS populated 2014-15 Manoa Faculty Senate Committees taking into consideration (1) senator preferences; (2) committee continuity; (3) terms of service; (4) constituencies; and (5) individual committee requirements.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.4" w:before="2.4" w:lineRule="auto"/>
              <w:ind w:left="-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.4" w:before="2.4" w:lineRule="auto"/>
              <w:ind w:left="-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CFS gave preference to continuing Senators wishing to return to the same committee for their second term.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5b8a"/>
                <w:sz w:val="22"/>
                <w:szCs w:val="22"/>
                <w:rtl w:val="0"/>
              </w:rPr>
              <w:t xml:space="preserve">Senate Committee Nomination List will be circulated via e-mail for CFS E-Vote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meeting adjourned at 4:30 PM.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Robert Dunn.</w:t>
      </w:r>
    </w:p>
    <w:p w:rsidR="00000000" w:rsidDel="00000000" w:rsidP="00000000" w:rsidRDefault="00000000" w:rsidRPr="00000000" w14:paraId="0000004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electronically on May 5, 2014.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4B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FACULTY SERVICE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