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ageBreakBefore w:val="0"/>
        <w:rPr/>
      </w:pPr>
      <w:r w:rsidDel="00000000" w:rsidR="00000000" w:rsidRPr="00000000">
        <w:rPr>
          <w:rtl w:val="0"/>
        </w:rPr>
        <w:t xml:space="preserve">COMMITTEE ON ATHLETICS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b w:val="1"/>
          <w:color w:val="000000"/>
          <w:sz w:val="22"/>
          <w:szCs w:val="22"/>
          <w:highlight w:val="lightGray"/>
          <w:rtl w:val="0"/>
        </w:rPr>
        <w:t xml:space="preserve">10/10/2013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81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68"/>
        <w:gridCol w:w="270"/>
        <w:gridCol w:w="2160"/>
        <w:gridCol w:w="270"/>
        <w:gridCol w:w="2970"/>
        <w:gridCol w:w="270"/>
        <w:gridCol w:w="1800"/>
        <w:gridCol w:w="810"/>
        <w:tblGridChange w:id="0">
          <w:tblGrid>
            <w:gridCol w:w="2268"/>
            <w:gridCol w:w="270"/>
            <w:gridCol w:w="2160"/>
            <w:gridCol w:w="270"/>
            <w:gridCol w:w="2970"/>
            <w:gridCol w:w="270"/>
            <w:gridCol w:w="180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ASAHINA, Audrey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MATSUDA, Jennifer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WESTFALL-SENDA, Mandy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BROWN, Steven</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MATSUI, Sandy</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WITHY, Kelley</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CHANG, Williamson</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NICHOLSON, Peter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ZAKESKI, Halina</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HWANG, Hyunjoo</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WELLS, Jenny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188"/>
        <w:gridCol w:w="6210"/>
        <w:gridCol w:w="3330"/>
        <w:tblGridChange w:id="0">
          <w:tblGrid>
            <w:gridCol w:w="1188"/>
            <w:gridCol w:w="6210"/>
            <w:gridCol w:w="333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3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At 2:05 pm</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By Peter Nicholson</w:t>
            </w:r>
          </w:p>
        </w:tc>
      </w:tr>
      <w:tr>
        <w:trPr>
          <w:cantSplit w:val="0"/>
          <w:trHeight w:val="3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b w:val="1"/>
                <w:sz w:val="22"/>
                <w:szCs w:val="22"/>
              </w:rPr>
            </w:pPr>
            <w:r w:rsidDel="00000000" w:rsidR="00000000" w:rsidRPr="00000000">
              <w:rPr>
                <w:rtl w:val="0"/>
              </w:rPr>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rtl w:val="0"/>
              </w:rPr>
            </w:r>
          </w:p>
        </w:tc>
        <w:tc>
          <w:tcPr/>
          <w:p w:rsidR="00000000" w:rsidDel="00000000" w:rsidP="00000000" w:rsidRDefault="00000000" w:rsidRPr="00000000" w14:paraId="0000003B">
            <w:pPr>
              <w:pageBreakBefore w:val="0"/>
              <w:spacing w:after="2.4" w:before="2.4" w:lineRule="auto"/>
              <w:rPr>
                <w:color w:val="000000"/>
                <w:sz w:val="22"/>
                <w:szCs w:val="22"/>
              </w:rPr>
            </w:pPr>
            <w:r w:rsidDel="00000000" w:rsidR="00000000" w:rsidRPr="00000000">
              <w:rPr>
                <w:color w:val="000000"/>
                <w:sz w:val="22"/>
                <w:szCs w:val="22"/>
                <w:rtl w:val="0"/>
              </w:rPr>
              <w:t xml:space="preserve">Report from Halina (SEC Liason)</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committee should look into important factors regarding the welfare of student athletes including financial situation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Current budget situation will influence the situation.</w:t>
            </w:r>
          </w:p>
        </w:tc>
        <w:tc>
          <w:tcPr/>
          <w:p w:rsidR="00000000" w:rsidDel="00000000" w:rsidP="00000000" w:rsidRDefault="00000000" w:rsidRPr="00000000" w14:paraId="0000003E">
            <w:pPr>
              <w:pageBreakBefore w:val="0"/>
              <w:spacing w:after="2.4" w:before="2.4" w:lineRule="auto"/>
              <w:rPr>
                <w:b w:val="1"/>
                <w:color w:val="335b8a"/>
                <w:sz w:val="22"/>
                <w:szCs w:val="22"/>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3F">
            <w:pPr>
              <w:pageBreakBefore w:val="0"/>
              <w:rPr>
                <w:b w:val="1"/>
                <w:sz w:val="20"/>
                <w:szCs w:val="20"/>
              </w:rPr>
            </w:pPr>
            <w:r w:rsidDel="00000000" w:rsidR="00000000" w:rsidRPr="00000000">
              <w:rPr>
                <w:rtl w:val="0"/>
              </w:rPr>
            </w:r>
          </w:p>
        </w:tc>
        <w:tc>
          <w:tcPr/>
          <w:p w:rsidR="00000000" w:rsidDel="00000000" w:rsidP="00000000" w:rsidRDefault="00000000" w:rsidRPr="00000000" w14:paraId="00000040">
            <w:pPr>
              <w:pageBreakBefore w:val="0"/>
              <w:spacing w:after="2.4" w:before="2.4" w:lineRule="auto"/>
              <w:rPr>
                <w:color w:val="000000"/>
                <w:sz w:val="22"/>
                <w:szCs w:val="22"/>
              </w:rPr>
            </w:pPr>
            <w:r w:rsidDel="00000000" w:rsidR="00000000" w:rsidRPr="00000000">
              <w:rPr>
                <w:color w:val="000000"/>
                <w:sz w:val="22"/>
                <w:szCs w:val="22"/>
                <w:rtl w:val="0"/>
              </w:rPr>
              <w:t xml:space="preserve">Report from Peter (Faculty Athletics Representative or FAR)    </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Peter met with David Erickson (SEC Chair)</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relationship with COIA is somewhat out of our control as COIA has issues with NCAA and it is hard to clarify what the faculty senate athletic representative’s position should be in this situation.</w:t>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Emphasized the importance of finding a good successor of Peter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COA should be familiar with the new BOR policy. We will discuss at next meeting.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pageBreakBefore w:val="0"/>
              <w:spacing w:after="2.4" w:before="2.4" w:lineRule="auto"/>
              <w:ind w:left="432" w:hanging="270"/>
              <w:rPr>
                <w:color w:val="000000"/>
                <w:sz w:val="22"/>
                <w:szCs w:val="22"/>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new director of admissions should be informed of details about the student athlete admission process. (One example policy overlooked is the procedure of informing student athlete of rejection for their admission application.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 w:before="0" w:line="240" w:lineRule="auto"/>
              <w:ind w:left="432" w:right="0" w:hanging="27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ageBreakBefore w:val="0"/>
              <w:spacing w:after="2.4" w:before="2.4" w:lineRule="auto"/>
              <w:ind w:firstLine="60"/>
              <w:rPr>
                <w:color w:val="000000"/>
                <w:sz w:val="22"/>
                <w:szCs w:val="22"/>
              </w:rPr>
            </w:pPr>
            <w:r w:rsidDel="00000000" w:rsidR="00000000" w:rsidRPr="00000000">
              <w:rPr>
                <w:rtl w:val="0"/>
              </w:rPr>
            </w:r>
          </w:p>
        </w:tc>
        <w:tc>
          <w:tcPr/>
          <w:p w:rsidR="00000000" w:rsidDel="00000000" w:rsidP="00000000" w:rsidRDefault="00000000" w:rsidRPr="00000000" w14:paraId="0000004F">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0">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1">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2">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3">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4">
            <w:pPr>
              <w:pageBreakBefore w:val="0"/>
              <w:spacing w:after="2.4" w:before="2.4" w:lineRule="auto"/>
              <w:rPr>
                <w:b w:val="1"/>
                <w:color w:val="335b8a"/>
                <w:sz w:val="22"/>
                <w:szCs w:val="22"/>
              </w:rPr>
            </w:pPr>
            <w:r w:rsidDel="00000000" w:rsidR="00000000" w:rsidRPr="00000000">
              <w:rPr>
                <w:rtl w:val="0"/>
              </w:rPr>
            </w:r>
          </w:p>
          <w:p w:rsidR="00000000" w:rsidDel="00000000" w:rsidP="00000000" w:rsidRDefault="00000000" w:rsidRPr="00000000" w14:paraId="00000055">
            <w:pPr>
              <w:pageBreakBefore w:val="0"/>
              <w:spacing w:after="2.4" w:before="2.4" w:lineRule="auto"/>
              <w:ind w:left="252" w:hanging="252"/>
              <w:rPr>
                <w:color w:val="335b8a"/>
                <w:sz w:val="22"/>
                <w:szCs w:val="22"/>
              </w:rPr>
            </w:pPr>
            <w:r w:rsidDel="00000000" w:rsidR="00000000" w:rsidRPr="00000000">
              <w:rPr>
                <w:color w:val="335b8a"/>
                <w:sz w:val="22"/>
                <w:szCs w:val="22"/>
                <w:rtl w:val="0"/>
              </w:rPr>
              <w:t xml:space="preserve">3. COA should review FAR’s job description including criteria for evaluation before searching. Peter will get us the job description</w:t>
            </w:r>
          </w:p>
          <w:p w:rsidR="00000000" w:rsidDel="00000000" w:rsidP="00000000" w:rsidRDefault="00000000" w:rsidRPr="00000000" w14:paraId="00000056">
            <w:pPr>
              <w:pageBreakBefore w:val="0"/>
              <w:spacing w:after="2.4" w:before="2.4" w:lineRule="auto"/>
              <w:ind w:left="252" w:hanging="252"/>
              <w:rPr>
                <w:color w:val="335b8a"/>
                <w:sz w:val="22"/>
                <w:szCs w:val="22"/>
              </w:rPr>
            </w:pPr>
            <w:r w:rsidDel="00000000" w:rsidR="00000000" w:rsidRPr="00000000">
              <w:rPr>
                <w:rtl w:val="0"/>
              </w:rPr>
            </w:r>
          </w:p>
          <w:p w:rsidR="00000000" w:rsidDel="00000000" w:rsidP="00000000" w:rsidRDefault="00000000" w:rsidRPr="00000000" w14:paraId="00000057">
            <w:pPr>
              <w:pageBreakBefore w:val="0"/>
              <w:spacing w:after="2.4" w:before="2.4" w:lineRule="auto"/>
              <w:ind w:left="252" w:hanging="252"/>
              <w:rPr>
                <w:color w:val="335b8a"/>
                <w:sz w:val="22"/>
                <w:szCs w:val="22"/>
              </w:rPr>
            </w:pPr>
            <w:r w:rsidDel="00000000" w:rsidR="00000000" w:rsidRPr="00000000">
              <w:rPr>
                <w:color w:val="335b8a"/>
                <w:sz w:val="22"/>
                <w:szCs w:val="22"/>
                <w:rtl w:val="0"/>
              </w:rPr>
              <w:t xml:space="preserve">4. New policy will be sent to Kristen to be posted in COA webpage (Peter)</w:t>
            </w:r>
          </w:p>
          <w:p w:rsidR="00000000" w:rsidDel="00000000" w:rsidP="00000000" w:rsidRDefault="00000000" w:rsidRPr="00000000" w14:paraId="00000058">
            <w:pPr>
              <w:pageBreakBefore w:val="0"/>
              <w:spacing w:after="2.4" w:before="2.4" w:lineRule="auto"/>
              <w:ind w:left="252" w:hanging="252"/>
              <w:rPr>
                <w:color w:val="335b8a"/>
                <w:sz w:val="22"/>
                <w:szCs w:val="22"/>
              </w:rPr>
            </w:pPr>
            <w:r w:rsidDel="00000000" w:rsidR="00000000" w:rsidRPr="00000000">
              <w:rPr>
                <w:rtl w:val="0"/>
              </w:rPr>
            </w:r>
          </w:p>
          <w:p w:rsidR="00000000" w:rsidDel="00000000" w:rsidP="00000000" w:rsidRDefault="00000000" w:rsidRPr="00000000" w14:paraId="00000059">
            <w:pPr>
              <w:pageBreakBefore w:val="0"/>
              <w:spacing w:after="2.4" w:before="2.4" w:lineRule="auto"/>
              <w:ind w:left="252" w:hanging="252"/>
              <w:rPr>
                <w:color w:val="335b8a"/>
                <w:sz w:val="22"/>
                <w:szCs w:val="22"/>
              </w:rPr>
            </w:pPr>
            <w:r w:rsidDel="00000000" w:rsidR="00000000" w:rsidRPr="00000000">
              <w:rPr>
                <w:color w:val="335b8a"/>
                <w:sz w:val="22"/>
                <w:szCs w:val="22"/>
                <w:rtl w:val="0"/>
              </w:rPr>
              <w:t xml:space="preserve">5. Next meeting: let’s invite the new director of admission and discuss about the former practice of sending the denial of admission to the Athletics Department, not to the student-athlete.  This practice must not be resumed. Student athletes should be informed of their rejection status. (Committee chair should formally invite the director – Halina inform the chair to do so)</w:t>
            </w:r>
          </w:p>
        </w:tc>
      </w:tr>
      <w:tr>
        <w:trPr>
          <w:cantSplit w:val="0"/>
          <w:trHeight w:val="460" w:hRule="atLeast"/>
          <w:tblHeader w:val="0"/>
        </w:trPr>
        <w:tc>
          <w:tcPr/>
          <w:p w:rsidR="00000000" w:rsidDel="00000000" w:rsidP="00000000" w:rsidRDefault="00000000" w:rsidRPr="00000000" w14:paraId="0000005A">
            <w:pPr>
              <w:pageBreakBefore w:val="0"/>
              <w:rPr>
                <w:b w:val="1"/>
                <w:sz w:val="20"/>
                <w:szCs w:val="20"/>
              </w:rPr>
            </w:pPr>
            <w:r w:rsidDel="00000000" w:rsidR="00000000" w:rsidRPr="00000000">
              <w:rPr>
                <w:rtl w:val="0"/>
              </w:rPr>
            </w:r>
          </w:p>
        </w:tc>
        <w:tc>
          <w:tcPr/>
          <w:p w:rsidR="00000000" w:rsidDel="00000000" w:rsidP="00000000" w:rsidRDefault="00000000" w:rsidRPr="00000000" w14:paraId="0000005B">
            <w:pPr>
              <w:pageBreakBefore w:val="0"/>
              <w:tabs>
                <w:tab w:val="left" w:leader="none" w:pos="1426"/>
              </w:tabs>
              <w:rPr>
                <w:color w:val="000000"/>
                <w:sz w:val="22"/>
                <w:szCs w:val="22"/>
              </w:rPr>
            </w:pPr>
            <w:r w:rsidDel="00000000" w:rsidR="00000000" w:rsidRPr="00000000">
              <w:rPr>
                <w:color w:val="000000"/>
                <w:sz w:val="22"/>
                <w:szCs w:val="22"/>
                <w:rtl w:val="0"/>
              </w:rPr>
              <w:t xml:space="preserve">What are the most important thing to address</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Health safety issue – admission issue  (William Chang)</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Letter of intent and informing the rejection to student – how to document student athlete’s outcomes (Jenny Wells)</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Student concussion (injury) – admission issues (Audrey – question: student athletes on the same standard – yes – workshop for handling student athlete absence)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Certain program (i.e. Nursing) can’t accommodate student athlete.  How can we accommodate? (Kelley)</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is contact with professors going regarding student athlete travel?</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426"/>
              </w:tabs>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Grading/class adaptations for student athletes might be a good topic for faculty discussion.</w:t>
            </w:r>
          </w:p>
        </w:tc>
        <w:tc>
          <w:tcPr/>
          <w:p w:rsidR="00000000" w:rsidDel="00000000" w:rsidP="00000000" w:rsidRDefault="00000000" w:rsidRPr="00000000" w14:paraId="00000062">
            <w:pPr>
              <w:pageBreakBefore w:val="0"/>
              <w:rPr>
                <w:sz w:val="22"/>
                <w:szCs w:val="22"/>
              </w:rPr>
            </w:pPr>
            <w:r w:rsidDel="00000000" w:rsidR="00000000" w:rsidRPr="00000000">
              <w:rPr>
                <w:sz w:val="22"/>
                <w:szCs w:val="22"/>
                <w:rtl w:val="0"/>
              </w:rPr>
              <w:t xml:space="preserve"> </w:t>
            </w:r>
          </w:p>
        </w:tc>
      </w:tr>
      <w:tr>
        <w:trPr>
          <w:cantSplit w:val="0"/>
          <w:trHeight w:val="460" w:hRule="atLeast"/>
          <w:tblHeader w:val="0"/>
        </w:trPr>
        <w:tc>
          <w:tcPr/>
          <w:p w:rsidR="00000000" w:rsidDel="00000000" w:rsidP="00000000" w:rsidRDefault="00000000" w:rsidRPr="00000000" w14:paraId="00000063">
            <w:pPr>
              <w:pageBreakBefore w:val="0"/>
              <w:rPr>
                <w:b w:val="1"/>
                <w:sz w:val="20"/>
                <w:szCs w:val="20"/>
              </w:rPr>
            </w:pPr>
            <w:r w:rsidDel="00000000" w:rsidR="00000000" w:rsidRPr="00000000">
              <w:rPr>
                <w:b w:val="1"/>
                <w:sz w:val="20"/>
                <w:szCs w:val="20"/>
                <w:rtl w:val="0"/>
              </w:rPr>
              <w:t xml:space="preserve">TO DO</w:t>
            </w:r>
          </w:p>
        </w:tc>
        <w:tc>
          <w:tcPr/>
          <w:p w:rsidR="00000000" w:rsidDel="00000000" w:rsidP="00000000" w:rsidRDefault="00000000" w:rsidRPr="00000000" w14:paraId="00000064">
            <w:pPr>
              <w:pageBreakBefore w:val="0"/>
              <w:rPr>
                <w:sz w:val="22"/>
                <w:szCs w:val="22"/>
              </w:rPr>
            </w:pPr>
            <w:r w:rsidDel="00000000" w:rsidR="00000000" w:rsidRPr="00000000">
              <w:rPr>
                <w:sz w:val="22"/>
                <w:szCs w:val="22"/>
                <w:rtl w:val="0"/>
              </w:rPr>
              <w:t xml:space="preserve">Halina-talk with ASUH about student athletics fees</w:t>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Steve-invite new admissions director</w:t>
            </w:r>
          </w:p>
          <w:p w:rsidR="00000000" w:rsidDel="00000000" w:rsidP="00000000" w:rsidRDefault="00000000" w:rsidRPr="00000000" w14:paraId="00000066">
            <w:pPr>
              <w:pageBreakBefore w:val="0"/>
              <w:rPr>
                <w:sz w:val="22"/>
                <w:szCs w:val="22"/>
              </w:rPr>
            </w:pPr>
            <w:r w:rsidDel="00000000" w:rsidR="00000000" w:rsidRPr="00000000">
              <w:rPr>
                <w:sz w:val="22"/>
                <w:szCs w:val="22"/>
                <w:rtl w:val="0"/>
              </w:rPr>
              <w:t xml:space="preserve">Steve-email David Ericson about inviting AD to MFS to discuss academic success and budget issues.  Recommend an annual tradition in the future of inviting AD in September.</w:t>
            </w:r>
          </w:p>
          <w:p w:rsidR="00000000" w:rsidDel="00000000" w:rsidP="00000000" w:rsidRDefault="00000000" w:rsidRPr="00000000" w14:paraId="00000067">
            <w:pPr>
              <w:pageBreakBefore w:val="0"/>
              <w:rPr>
                <w:sz w:val="22"/>
                <w:szCs w:val="22"/>
              </w:rPr>
            </w:pPr>
            <w:r w:rsidDel="00000000" w:rsidR="00000000" w:rsidRPr="00000000">
              <w:rPr>
                <w:sz w:val="22"/>
                <w:szCs w:val="22"/>
                <w:rtl w:val="0"/>
              </w:rPr>
              <w:t xml:space="preserve">Peter-get us the job description.</w:t>
            </w:r>
          </w:p>
          <w:p w:rsidR="00000000" w:rsidDel="00000000" w:rsidP="00000000" w:rsidRDefault="00000000" w:rsidRPr="00000000" w14:paraId="00000068">
            <w:pPr>
              <w:pageBreakBefore w:val="0"/>
              <w:rPr>
                <w:sz w:val="22"/>
                <w:szCs w:val="22"/>
              </w:rPr>
            </w:pPr>
            <w:r w:rsidDel="00000000" w:rsidR="00000000" w:rsidRPr="00000000">
              <w:rPr>
                <w:sz w:val="22"/>
                <w:szCs w:val="22"/>
                <w:rtl w:val="0"/>
              </w:rPr>
              <w:t xml:space="preserve">Kristen-circulate BOR Policy</w:t>
            </w:r>
          </w:p>
          <w:p w:rsidR="00000000" w:rsidDel="00000000" w:rsidP="00000000" w:rsidRDefault="00000000" w:rsidRPr="00000000" w14:paraId="00000069">
            <w:pPr>
              <w:pageBreakBefore w:val="0"/>
              <w:rPr>
                <w:sz w:val="22"/>
                <w:szCs w:val="22"/>
              </w:rPr>
            </w:pPr>
            <w:r w:rsidDel="00000000" w:rsidR="00000000" w:rsidRPr="00000000">
              <w:rPr>
                <w:sz w:val="22"/>
                <w:szCs w:val="22"/>
                <w:rtl w:val="0"/>
              </w:rPr>
              <w:t xml:space="preserve">Everyone-consider going to COIA in March next year</w:t>
            </w:r>
          </w:p>
        </w:tc>
        <w:tc>
          <w:tcPr/>
          <w:p w:rsidR="00000000" w:rsidDel="00000000" w:rsidP="00000000" w:rsidRDefault="00000000" w:rsidRPr="00000000" w14:paraId="0000006A">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B">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C">
            <w:pPr>
              <w:pageBreakBefore w:val="0"/>
              <w:rPr>
                <w:sz w:val="20"/>
                <w:szCs w:val="20"/>
              </w:rPr>
            </w:pPr>
            <w:r w:rsidDel="00000000" w:rsidR="00000000" w:rsidRPr="00000000">
              <w:rPr>
                <w:rtl w:val="0"/>
              </w:rPr>
            </w:r>
          </w:p>
        </w:tc>
        <w:tc>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4:05</w:t>
            </w:r>
          </w:p>
        </w:tc>
        <w:tc>
          <w:tcPr/>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pageBreakBefore w:val="0"/>
        <w:rPr>
          <w:sz w:val="22"/>
          <w:szCs w:val="22"/>
        </w:rPr>
      </w:pPr>
      <w:r w:rsidDel="00000000" w:rsidR="00000000" w:rsidRPr="00000000">
        <w:rPr>
          <w:rtl w:val="0"/>
        </w:rPr>
      </w:r>
    </w:p>
    <w:p w:rsidR="00000000" w:rsidDel="00000000" w:rsidP="00000000" w:rsidRDefault="00000000" w:rsidRPr="00000000" w14:paraId="00000070">
      <w:pPr>
        <w:pageBreakBefore w:val="0"/>
        <w:rPr>
          <w:sz w:val="22"/>
          <w:szCs w:val="22"/>
        </w:rPr>
      </w:pPr>
      <w:r w:rsidDel="00000000" w:rsidR="00000000" w:rsidRPr="00000000">
        <w:rPr>
          <w:sz w:val="22"/>
          <w:szCs w:val="22"/>
          <w:rtl w:val="0"/>
        </w:rPr>
        <w:t xml:space="preserve">Respectfully submitted by Joyce Hwang</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bookmarkStart w:colFirst="0" w:colLast="0" w:name="_gjdgxs" w:id="0"/>
      <w:bookmarkEnd w:id="0"/>
      <w:r w:rsidDel="00000000" w:rsidR="00000000" w:rsidRPr="00000000">
        <w:rPr>
          <w:sz w:val="22"/>
          <w:szCs w:val="22"/>
          <w:rtl w:val="0"/>
        </w:rPr>
        <w:t xml:space="preserve">Approved on Oct. 28, 4 votes in favor and 0 opposed.</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6">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Athletics (COA)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