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COMMITTEE ON ATHLETICS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b w:val="1"/>
          <w:color w:val="000000"/>
          <w:sz w:val="22"/>
          <w:szCs w:val="22"/>
          <w:highlight w:val="lightGray"/>
          <w:rtl w:val="0"/>
        </w:rPr>
        <w:t xml:space="preserve">11/08/2013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Hawai‘i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70"/>
        <w:gridCol w:w="2160"/>
        <w:gridCol w:w="270"/>
        <w:gridCol w:w="2970"/>
        <w:gridCol w:w="270"/>
        <w:gridCol w:w="1800"/>
        <w:gridCol w:w="810"/>
        <w:tblGridChange w:id="0">
          <w:tblGrid>
            <w:gridCol w:w="2268"/>
            <w:gridCol w:w="270"/>
            <w:gridCol w:w="2160"/>
            <w:gridCol w:w="270"/>
            <w:gridCol w:w="2970"/>
            <w:gridCol w:w="270"/>
            <w:gridCol w:w="180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ASAHINA, Audrey   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MATSUDA, Jennifer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ind w:left="-90" w:right="-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WESTFALL-SENDA, Mandy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Hung Dang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BROWN, Steven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ind w:left="-1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MATSUI, Sandy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ind w:left="-90" w:right="-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WITHY, Kelley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Ryan Yamaguchi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CHANG, Williamson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NICHOLSON, Peter  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ind w:left="-90" w:right="-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ZAKESKI, Halina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HWANG, Hyunjoo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WELLS, Jenny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ind w:left="-90" w:right="-1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ind w:left="-18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9630"/>
        <w:tblGridChange w:id="0">
          <w:tblGrid>
            <w:gridCol w:w="1188"/>
            <w:gridCol w:w="9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2:00 pm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after="2.4" w:before="2.4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guest from Admissions 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Hung Dang (Admissions Director)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Ryan Yamaguchi (Assistant Director)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Today’s meeting is for: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Introduce COA to admissions officers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Steve (Chair of COA) welcomed the special guest and introduced COA members to admissions officers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Share COA’s on-going concerns: admission process for student athletes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 out that there is the new BOR policy (athlete and student admission process should be under the same standard) that the new admissions director should be aware of.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past, the letter of rejection went to coaches instead of the student athlete applicant. This is no longer the practice and the current policy should be continued.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Also, all students are now made aware of the option to ask for reconsideration, an option that was exercised mainly by student-athletes in the past.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is a possible case where Athletic department is holding the student athlete’s application until the prospect for admission improves.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(Hung) How can this be possible when applications are now 100% on-line?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Peter will further investigate on this with Athletic Department.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Currently, the staff who handles the student athletes’ application is a former basketball player, coach, student service staff – FYI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FYI, the rate of admission is higher among athletes than regular students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27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(Kelly) We are here to help you so let’s work together toward student athletes’ wellbeing.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0" w:line="240" w:lineRule="auto"/>
              <w:ind w:left="34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athletes get more services (advising, etc) than regular students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student services, it will be nice to be able to extend to all students.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Any question to COA? (Steve) </w:t>
            </w:r>
            <w:r w:rsidDel="00000000" w:rsidR="00000000" w:rsidRPr="00000000">
              <w:rPr>
                <w:rFonts w:ascii="Cardo" w:cs="Cardo" w:eastAsia="Cardo" w:hAnsi="Cardo"/>
                <w:color w:val="000000"/>
                <w:sz w:val="22"/>
                <w:szCs w:val="22"/>
                <w:rtl w:val="0"/>
              </w:rPr>
              <w:t xml:space="preserve">→ (Hung) Through meeting with various groups, I learned a lot of good stories about student success. I intend to add more of those stories and bring out the stories so that they are recognized. I ask you for continuous close communication. I am in QLC 214. </w:t>
            </w:r>
          </w:p>
          <w:p w:rsidR="00000000" w:rsidDel="00000000" w:rsidP="00000000" w:rsidRDefault="00000000" w:rsidRPr="00000000" w14:paraId="0000004E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 recruiting, better direction is to think in terms of what’s best for that prospect high school students instead of trying to bring them to UHM (shared by Peter and Hung)</w:t>
            </w:r>
          </w:p>
          <w:p w:rsidR="00000000" w:rsidDel="00000000" w:rsidP="00000000" w:rsidRDefault="00000000" w:rsidRPr="00000000" w14:paraId="00000050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Long term academic success is more important for student athletes rather than short term athletic success. (Peter)</w:t>
            </w:r>
          </w:p>
          <w:p w:rsidR="00000000" w:rsidDel="00000000" w:rsidP="00000000" w:rsidRDefault="00000000" w:rsidRPr="00000000" w14:paraId="00000052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rdo" w:cs="Cardo" w:eastAsia="Cardo" w:hAnsi="Cardo"/>
                <w:color w:val="000000"/>
                <w:sz w:val="22"/>
                <w:szCs w:val="22"/>
                <w:rtl w:val="0"/>
              </w:rPr>
              <w:t xml:space="preserve">What about students with other special talent (Halina)? → (Ryan) Special talent gets offered an exemption (waiver) from paying out-of-state tuition. (entrepreneurs, etc.)</w:t>
            </w:r>
          </w:p>
          <w:p w:rsidR="00000000" w:rsidDel="00000000" w:rsidP="00000000" w:rsidRDefault="00000000" w:rsidRPr="00000000" w14:paraId="00000054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Admissions to College Opportunity Program (COP) are handled by Student Equity Excellence and Diversity (SEED) and Registrar and financial aids are handled by Admissions office (Ryan)</w:t>
            </w:r>
          </w:p>
          <w:p w:rsidR="00000000" w:rsidDel="00000000" w:rsidP="00000000" w:rsidRDefault="00000000" w:rsidRPr="00000000" w14:paraId="00000056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Transfer students from UH system with AA (GPA above 2.0)</w:t>
            </w:r>
          </w:p>
          <w:p w:rsidR="00000000" w:rsidDel="00000000" w:rsidP="00000000" w:rsidRDefault="00000000" w:rsidRPr="00000000" w14:paraId="00000058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Out of state student transfers are expected to have earned at least 24 transferrable credits. </w:t>
            </w:r>
          </w:p>
          <w:p w:rsidR="00000000" w:rsidDel="00000000" w:rsidP="00000000" w:rsidRDefault="00000000" w:rsidRPr="00000000" w14:paraId="00000059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At the admissions office, 8 employees look at transfer applications (Approximately 12300 applications annually, 5000 of which are transfer application). Official message says 4-6 weeks for application results.  </w:t>
            </w:r>
          </w:p>
          <w:p w:rsidR="00000000" w:rsidDel="00000000" w:rsidP="00000000" w:rsidRDefault="00000000" w:rsidRPr="00000000" w14:paraId="0000005B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rdo" w:cs="Cardo" w:eastAsia="Cardo" w:hAnsi="Cardo"/>
                <w:color w:val="000000"/>
                <w:sz w:val="22"/>
                <w:szCs w:val="22"/>
                <w:rtl w:val="0"/>
              </w:rPr>
              <w:t xml:space="preserve">(Halina) SEC is planning to compare success rate of transferred students with gpa 2.5 vs 2.0 → (Ryan) Data is not readily available and it will take significant amount of time for a staff to pull those information as the staff needs to look at individual data, one by one.</w:t>
            </w:r>
          </w:p>
          <w:p w:rsidR="00000000" w:rsidDel="00000000" w:rsidP="00000000" w:rsidRDefault="00000000" w:rsidRPr="00000000" w14:paraId="0000005D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Steve thanked our two special guests for their time.</w:t>
            </w:r>
          </w:p>
          <w:p w:rsidR="00000000" w:rsidDel="00000000" w:rsidP="00000000" w:rsidRDefault="00000000" w:rsidRPr="00000000" w14:paraId="0000005F">
            <w:pPr>
              <w:pageBreakBefore w:val="0"/>
              <w:tabs>
                <w:tab w:val="left" w:leader="none" w:pos="1426"/>
              </w:tabs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3:00 pm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Joyce Hwang</w:t>
      </w:r>
    </w:p>
    <w:p w:rsidR="00000000" w:rsidDel="00000000" w:rsidP="00000000" w:rsidRDefault="00000000" w:rsidRPr="00000000" w14:paraId="0000006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November 14, 2013 with 8 votes in favor of approval and 0 against.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6B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437100"/>
                        <a:ext cx="438340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Athletics (COA)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➔"/>
      <w:lvlJc w:val="left"/>
      <w:pPr>
        <w:ind w:left="702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