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December 3, 2015</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To:</w:t>
        <w:tab/>
        <w:t xml:space="preserve">Mānoa Faculty Senate</w:t>
      </w:r>
    </w:p>
    <w:p w:rsidR="00000000" w:rsidDel="00000000" w:rsidP="00000000" w:rsidRDefault="00000000" w:rsidRPr="00000000" w14:paraId="00000006">
      <w:pPr>
        <w:pageBreakBefore w:val="0"/>
        <w:rPr/>
      </w:pPr>
      <w:r w:rsidDel="00000000" w:rsidR="00000000" w:rsidRPr="00000000">
        <w:rPr>
          <w:rtl w:val="0"/>
        </w:rPr>
        <w:t xml:space="preserve">From:</w:t>
        <w:tab/>
        <w:t xml:space="preserve">Daniel E. Harris-McCoy, Chair</w:t>
      </w:r>
    </w:p>
    <w:p w:rsidR="00000000" w:rsidDel="00000000" w:rsidP="00000000" w:rsidRDefault="00000000" w:rsidRPr="00000000" w14:paraId="00000007">
      <w:pPr>
        <w:pageBreakBefore w:val="0"/>
        <w:rPr/>
      </w:pPr>
      <w:r w:rsidDel="00000000" w:rsidR="00000000" w:rsidRPr="00000000">
        <w:rPr>
          <w:rtl w:val="0"/>
        </w:rPr>
        <w:t xml:space="preserve">Re:</w:t>
        <w:tab/>
        <w:t xml:space="preserve">Committee on Athletics (COA) Fall Report 2015</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COA will have met 5 times during Fall 2015 on 9/10, 9/24, 10/8, 11/12, and 12/10. The Committee includes: David Flynn, Magdy Iskander, Martin Oishi, Ian Oyama, Guylaine Poisson, and Brent Sipes. Jenny Wells served as Secretary, Victoria Szymczak served as Vice-Chair, and Daniel Harris-McCoy served as Chair. Kelley Withy served as SEC Liaison and David Ericson also regularly attended meetings as Faculty Athletics Representative (FAR).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COA established four sub-committees, which are currently addressing all outstanding matters of business. At the invitation of FAR Ericson, COA members Iskander, Oyama, and Harris-McCoy are also serving on the Athletics Advisory Board (AAB). COA met with UH Mānoa Athletics Director David Matlin to discuss the current state of athletics as well as clarify COA’s agenda for the coming year. COA also met with ASUH leadership to discuss student opinion on UH athletics and received the results of an ASUH sponsored student opinion poll. COA members toured the various facilities—academic and athletic—in lower campus, and attended a meeting of the Student-Athlete Advisory Committee (SAAC) to hear from student-athletes.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COA has received preliminary reports from its sub-committees on the following issues:</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15.13 Life of a Student Athlete: </w:t>
      </w:r>
      <w:r w:rsidDel="00000000" w:rsidR="00000000" w:rsidRPr="00000000">
        <w:rPr>
          <w:rtl w:val="0"/>
        </w:rPr>
        <w:t xml:space="preserve">Sub-committee has decided to address issues relating to 1) the criteria used to apportion the recently implemented cost of attendance stipend and 2) moped parking, lighting, and general safety for facilities on lower-campus. To this end, sub-committee members collected information at the aforementioned SAAC meetings and on the facilities tour.</w:t>
      </w:r>
    </w:p>
    <w:p w:rsidR="00000000" w:rsidDel="00000000" w:rsidP="00000000" w:rsidRDefault="00000000" w:rsidRPr="00000000" w14:paraId="00000010">
      <w:pPr>
        <w:pageBreakBefore w:val="0"/>
        <w:rPr>
          <w:b w:val="1"/>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18.14: Board of Regents Policy Sec. 7-8: Intercollegiate Athletics: </w:t>
      </w:r>
      <w:r w:rsidDel="00000000" w:rsidR="00000000" w:rsidRPr="00000000">
        <w:rPr>
          <w:rtl w:val="0"/>
        </w:rPr>
        <w:t xml:space="preserve">The sub-committee has reviewed the document and tendered questions, which will be reviewed by the full committee before being forwarded to the appropriate party.</w:t>
      </w:r>
    </w:p>
    <w:p w:rsidR="00000000" w:rsidDel="00000000" w:rsidP="00000000" w:rsidRDefault="00000000" w:rsidRPr="00000000" w14:paraId="00000012">
      <w:pPr>
        <w:pageBreakBefore w:val="0"/>
        <w:rPr>
          <w:b w:val="1"/>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23.14 Concussion Management Policy: </w:t>
      </w:r>
      <w:r w:rsidDel="00000000" w:rsidR="00000000" w:rsidRPr="00000000">
        <w:rPr>
          <w:rtl w:val="0"/>
        </w:rPr>
        <w:t xml:space="preserve">The sub-committee is in the process of gathering documents relating to concussion policies and best practices; will assess Mānoa’s performance in this area and offer recommendations.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Respectfully Submitted By,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Daniel Harris-McCoy</w:t>
      </w:r>
    </w:p>
    <w:p w:rsidR="00000000" w:rsidDel="00000000" w:rsidP="00000000" w:rsidRDefault="00000000" w:rsidRPr="00000000" w14:paraId="00000018">
      <w:pPr>
        <w:pageBreakBefore w:val="0"/>
        <w:rPr/>
      </w:pPr>
      <w:r w:rsidDel="00000000" w:rsidR="00000000" w:rsidRPr="00000000">
        <w:rPr>
          <w:rtl w:val="0"/>
        </w:rPr>
        <w:t xml:space="preserve">Assistant Professor of Classics</w:t>
      </w:r>
    </w:p>
    <w:p w:rsidR="00000000" w:rsidDel="00000000" w:rsidP="00000000" w:rsidRDefault="00000000" w:rsidRPr="00000000" w14:paraId="00000019">
      <w:pPr>
        <w:pageBreakBefore w:val="0"/>
        <w:rPr/>
      </w:pPr>
      <w:r w:rsidDel="00000000" w:rsidR="00000000" w:rsidRPr="00000000">
        <w:rPr>
          <w:rtl w:val="0"/>
        </w:rPr>
        <w:t xml:space="preserve">Chair, Committee on Athletics</w:t>
      </w:r>
    </w:p>
    <w:p w:rsidR="00000000" w:rsidDel="00000000" w:rsidP="00000000" w:rsidRDefault="00000000" w:rsidRPr="00000000" w14:paraId="0000001A">
      <w:pPr>
        <w:pageBreakBefore w:val="0"/>
        <w:rPr/>
      </w:pPr>
      <w:r w:rsidDel="00000000" w:rsidR="00000000" w:rsidRPr="00000000">
        <w:rPr>
          <w:rtl w:val="0"/>
        </w:rPr>
        <w:t xml:space="preserve">University of Hawai`i at Mānoa</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1762125</wp:posOffset>
              </wp:positionH>
              <wp:positionV relativeFrom="paragraph">
                <wp:posOffset>-9524</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6"/>
                              <w:vertAlign w:val="baseline"/>
                            </w:rPr>
                          </w: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1762125</wp:posOffset>
              </wp:positionH>
              <wp:positionV relativeFrom="paragraph">
                <wp:posOffset>-9524</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440" w:right="-144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