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80" w:before="100" w:lineRule="auto"/>
        <w:rPr>
          <w:rFonts w:ascii="Arial" w:cs="Arial" w:eastAsia="Arial" w:hAnsi="Arial"/>
          <w:b w:val="1"/>
          <w:color w:val="000000"/>
          <w:sz w:val="26"/>
          <w:szCs w:val="26"/>
        </w:rPr>
      </w:pPr>
      <w:bookmarkStart w:colFirst="0" w:colLast="0" w:name="_gjdgxs" w:id="0"/>
      <w:bookmarkEnd w:id="0"/>
      <w:r w:rsidDel="00000000" w:rsidR="00000000" w:rsidRPr="00000000">
        <w:rPr>
          <w:rFonts w:ascii="Arial" w:cs="Arial" w:eastAsia="Arial" w:hAnsi="Arial"/>
          <w:b w:val="1"/>
          <w:color w:val="000000"/>
          <w:sz w:val="26"/>
          <w:szCs w:val="26"/>
          <w:rtl w:val="0"/>
        </w:rPr>
        <w:t xml:space="preserve">FACULTY CONGRESS MEETING MINUTES</w:t>
      </w:r>
    </w:p>
    <w:p w:rsidR="00000000" w:rsidDel="00000000" w:rsidP="00000000" w:rsidRDefault="00000000" w:rsidRPr="00000000" w14:paraId="00000002">
      <w:pPr>
        <w:pageBreakBefore w:val="0"/>
        <w:spacing w:after="280" w:before="0" w:lineRule="auto"/>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November 19, 2014</w:t>
        <w:br w:type="textWrapping"/>
      </w:r>
      <w:r w:rsidDel="00000000" w:rsidR="00000000" w:rsidRPr="00000000">
        <w:rPr>
          <w:rFonts w:ascii="Verdana" w:cs="Verdana" w:eastAsia="Verdana" w:hAnsi="Verdana"/>
          <w:b w:val="1"/>
          <w:i w:val="1"/>
          <w:color w:val="000000"/>
          <w:sz w:val="18"/>
          <w:szCs w:val="18"/>
          <w:rtl w:val="0"/>
        </w:rPr>
        <w:t xml:space="preserve">Architecture Auditorium (ARCH 205)</w:t>
        <w:br w:type="textWrapping"/>
        <w:t xml:space="preserve">4:00pm – 5:00pm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CALL TO ORDER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meeting was called to order at 4:37 pm.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MINUTES</w:t>
      </w:r>
      <w:r w:rsidDel="00000000" w:rsidR="00000000" w:rsidRPr="00000000">
        <w:rPr>
          <w:rtl w:val="0"/>
        </w:rPr>
      </w:r>
    </w:p>
    <w:p w:rsidR="00000000" w:rsidDel="00000000" w:rsidP="00000000" w:rsidRDefault="00000000" w:rsidRPr="00000000" w14:paraId="00000006">
      <w:pPr>
        <w:pageBreakBefore w:val="0"/>
        <w:numPr>
          <w:ilvl w:val="0"/>
          <w:numId w:val="4"/>
        </w:numPr>
        <w:spacing w:after="280" w:before="280" w:lineRule="auto"/>
        <w:ind w:left="720" w:hanging="360"/>
        <w:rPr/>
      </w:pPr>
      <w:r w:rsidDel="00000000" w:rsidR="00000000" w:rsidRPr="00000000">
        <w:rPr>
          <w:rFonts w:ascii="Times New Roman" w:cs="Times New Roman" w:eastAsia="Times New Roman" w:hAnsi="Times New Roman"/>
          <w:rtl w:val="0"/>
        </w:rPr>
        <w:t xml:space="preserve">August 19, 2014 Congress Minutes (</w:t>
      </w:r>
      <w:r w:rsidDel="00000000" w:rsidR="00000000" w:rsidRPr="00000000">
        <w:rPr>
          <w:rFonts w:ascii="Times New Roman" w:cs="Times New Roman" w:eastAsia="Times New Roman" w:hAnsi="Times New Roman"/>
          <w:i w:val="1"/>
          <w:rtl w:val="0"/>
        </w:rPr>
        <w:t xml:space="preserve">Draft</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0000ff"/>
            <w:u w:val="single"/>
            <w:rtl w:val="0"/>
          </w:rPr>
          <w:t xml:space="preserve">DOC</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0000ff"/>
            <w:u w:val="single"/>
            <w:rtl w:val="0"/>
          </w:rPr>
          <w:t xml:space="preserve">PDF</w:t>
        </w:r>
      </w:hyperlink>
      <w:r w:rsidDel="00000000" w:rsidR="00000000" w:rsidRPr="00000000">
        <w:rPr>
          <w:rFonts w:ascii="Times New Roman" w:cs="Times New Roman" w:eastAsia="Times New Roman" w:hAnsi="Times New Roman"/>
          <w:rtl w:val="0"/>
        </w:rPr>
        <w:t xml:space="preserve">] were approved by acclamation.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 CHAIR'S REPORT</w:t>
      </w:r>
      <w:r w:rsidDel="00000000" w:rsidR="00000000" w:rsidRPr="00000000">
        <w:rPr>
          <w:rtl w:val="0"/>
        </w:rPr>
      </w:r>
    </w:p>
    <w:p w:rsidR="00000000" w:rsidDel="00000000" w:rsidP="00000000" w:rsidRDefault="00000000" w:rsidRPr="00000000" w14:paraId="00000008">
      <w:pPr>
        <w:pageBreakBefore w:val="0"/>
        <w:numPr>
          <w:ilvl w:val="0"/>
          <w:numId w:val="5"/>
        </w:numPr>
        <w:spacing w:after="0" w:before="280" w:lineRule="auto"/>
        <w:ind w:left="720" w:hanging="360"/>
        <w:rPr/>
      </w:pPr>
      <w:r w:rsidDel="00000000" w:rsidR="00000000" w:rsidRPr="00000000">
        <w:rPr>
          <w:rFonts w:ascii="Times New Roman" w:cs="Times New Roman" w:eastAsia="Times New Roman" w:hAnsi="Times New Roman"/>
          <w:rtl w:val="0"/>
        </w:rPr>
        <w:t xml:space="preserve">Resolutions Regarding BoR and President Lassner </w:t>
      </w:r>
    </w:p>
    <w:p w:rsidR="00000000" w:rsidDel="00000000" w:rsidP="00000000" w:rsidRDefault="00000000" w:rsidRPr="00000000" w14:paraId="00000009">
      <w:pPr>
        <w:pageBreakBefore w:val="0"/>
        <w:numPr>
          <w:ilvl w:val="1"/>
          <w:numId w:val="5"/>
        </w:numPr>
        <w:spacing w:after="0" w:before="0" w:lineRule="auto"/>
        <w:ind w:left="1440" w:hanging="360"/>
        <w:rPr/>
      </w:pPr>
      <w:r w:rsidDel="00000000" w:rsidR="00000000" w:rsidRPr="00000000">
        <w:rPr>
          <w:rFonts w:ascii="Times New Roman" w:cs="Times New Roman" w:eastAsia="Times New Roman" w:hAnsi="Times New Roman"/>
          <w:rtl w:val="0"/>
        </w:rPr>
        <w:t xml:space="preserve">The SEC has been meeting with two regents at a time to discuss faculty governance and issues related to the dismissal of the Manoa chancellor during the summer of 2014.  So far, the SEC has met with Chair Moore, Vice Chair Sullivan, Regent Gee, and Regent Portnoy.  </w:t>
      </w:r>
    </w:p>
    <w:p w:rsidR="00000000" w:rsidDel="00000000" w:rsidP="00000000" w:rsidRDefault="00000000" w:rsidRPr="00000000" w14:paraId="0000000A">
      <w:pPr>
        <w:pageBreakBefore w:val="0"/>
        <w:numPr>
          <w:ilvl w:val="0"/>
          <w:numId w:val="5"/>
        </w:numPr>
        <w:spacing w:after="0" w:before="0" w:lineRule="auto"/>
        <w:ind w:left="720" w:hanging="360"/>
        <w:rPr/>
      </w:pPr>
      <w:r w:rsidDel="00000000" w:rsidR="00000000" w:rsidRPr="00000000">
        <w:rPr>
          <w:rFonts w:ascii="Times New Roman" w:cs="Times New Roman" w:eastAsia="Times New Roman" w:hAnsi="Times New Roman"/>
          <w:rtl w:val="0"/>
        </w:rPr>
        <w:t xml:space="preserve">MOA on UHPA/Senate Responsibilities coming up before ACCFSC </w:t>
      </w:r>
    </w:p>
    <w:p w:rsidR="00000000" w:rsidDel="00000000" w:rsidP="00000000" w:rsidRDefault="00000000" w:rsidRPr="00000000" w14:paraId="0000000B">
      <w:pPr>
        <w:pageBreakBefore w:val="0"/>
        <w:numPr>
          <w:ilvl w:val="1"/>
          <w:numId w:val="5"/>
        </w:numPr>
        <w:spacing w:after="280" w:before="0" w:lineRule="auto"/>
        <w:ind w:left="1440" w:hanging="360"/>
        <w:rPr/>
      </w:pPr>
      <w:r w:rsidDel="00000000" w:rsidR="00000000" w:rsidRPr="00000000">
        <w:rPr>
          <w:rFonts w:ascii="Times New Roman" w:cs="Times New Roman" w:eastAsia="Times New Roman" w:hAnsi="Times New Roman"/>
          <w:rtl w:val="0"/>
        </w:rPr>
        <w:t xml:space="preserve">The MOA regards the responsibilities of the Senate, UHPA, respectively, and joint responsibilities.  The 1976 document outlining domains of responsibility is being revived for this purpose.  The MOA will be coming to the ACCFSC on Friday, October 21, 2014.  The reason for the prompt movement of this MOA is that the settlement agreement between the UHPA and the UH administration includes coming to an agreement about these responsibilities.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GUEST: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David Duffy, UHPA President </w:t>
      </w:r>
    </w:p>
    <w:p w:rsidR="00000000" w:rsidDel="00000000" w:rsidP="00000000" w:rsidRDefault="00000000" w:rsidRPr="00000000" w14:paraId="0000000D">
      <w:pPr>
        <w:pageBreakBefore w:val="0"/>
        <w:numPr>
          <w:ilvl w:val="0"/>
          <w:numId w:val="1"/>
        </w:numPr>
        <w:spacing w:after="0" w:before="280" w:lineRule="auto"/>
        <w:ind w:left="720" w:hanging="360"/>
        <w:rPr/>
      </w:pPr>
      <w:r w:rsidDel="00000000" w:rsidR="00000000" w:rsidRPr="00000000">
        <w:rPr>
          <w:rFonts w:ascii="Times New Roman" w:cs="Times New Roman" w:eastAsia="Times New Roman" w:hAnsi="Times New Roman"/>
          <w:rtl w:val="0"/>
        </w:rPr>
        <w:t xml:space="preserve">Article X, Department or Division Procedures Governing Tenure, Promotion, and Contract Renewal </w:t>
      </w:r>
    </w:p>
    <w:p w:rsidR="00000000" w:rsidDel="00000000" w:rsidP="00000000" w:rsidRDefault="00000000" w:rsidRPr="00000000" w14:paraId="0000000E">
      <w:pPr>
        <w:pageBreakBefore w:val="0"/>
        <w:numPr>
          <w:ilvl w:val="1"/>
          <w:numId w:val="1"/>
        </w:numPr>
        <w:spacing w:after="0" w:before="0" w:lineRule="auto"/>
        <w:ind w:left="1440" w:hanging="360"/>
        <w:rPr/>
      </w:pPr>
      <w:r w:rsidDel="00000000" w:rsidR="00000000" w:rsidRPr="00000000">
        <w:rPr>
          <w:rFonts w:ascii="Times New Roman" w:cs="Times New Roman" w:eastAsia="Times New Roman" w:hAnsi="Times New Roman"/>
          <w:rtl w:val="0"/>
        </w:rPr>
        <w:t xml:space="preserve">As departments, we need to do due diligence to assert our own department guidelines for tenure, promotion, and contract renewal.  Collective bargaining, Regents’ policy, and administrative guidelines set minima, but departments write their own policies to reflect their own discipline-specific academic standards for workload productivity.  Appropriate equivalents will involve consultation of faculty, chairs, and deans.  Duffy encourages each department to have good, defensible academic standards, as departments rule the academics.  </w:t>
      </w:r>
    </w:p>
    <w:p w:rsidR="00000000" w:rsidDel="00000000" w:rsidP="00000000" w:rsidRDefault="00000000" w:rsidRPr="00000000" w14:paraId="0000000F">
      <w:pPr>
        <w:pageBreakBefore w:val="0"/>
        <w:numPr>
          <w:ilvl w:val="1"/>
          <w:numId w:val="1"/>
        </w:numPr>
        <w:spacing w:after="280" w:before="0" w:lineRule="auto"/>
        <w:ind w:left="1440" w:hanging="360"/>
        <w:rPr/>
      </w:pPr>
      <w:r w:rsidDel="00000000" w:rsidR="00000000" w:rsidRPr="00000000">
        <w:rPr>
          <w:rFonts w:ascii="Times New Roman" w:cs="Times New Roman" w:eastAsia="Times New Roman" w:hAnsi="Times New Roman"/>
          <w:rtl w:val="0"/>
        </w:rPr>
        <w:t xml:space="preserve">There was some discussion of the approval process.  The approval process is sometimes lengthy.  Departments should talk to OVCAA and UHPA if necessary.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 BUSINESS</w:t>
      </w:r>
      <w:r w:rsidDel="00000000" w:rsidR="00000000" w:rsidRPr="00000000">
        <w:rPr>
          <w:rtl w:val="0"/>
        </w:rPr>
      </w:r>
    </w:p>
    <w:p w:rsidR="00000000" w:rsidDel="00000000" w:rsidP="00000000" w:rsidRDefault="00000000" w:rsidRPr="00000000" w14:paraId="00000011">
      <w:pPr>
        <w:pageBreakBefore w:val="0"/>
        <w:numPr>
          <w:ilvl w:val="0"/>
          <w:numId w:val="2"/>
        </w:numPr>
        <w:spacing w:after="280" w:before="280" w:lineRule="auto"/>
        <w:ind w:left="720" w:hanging="360"/>
        <w:rPr/>
      </w:pPr>
      <w:r w:rsidDel="00000000" w:rsidR="00000000" w:rsidRPr="00000000">
        <w:rPr>
          <w:rFonts w:ascii="Times New Roman" w:cs="Times New Roman" w:eastAsia="Times New Roman" w:hAnsi="Times New Roman"/>
          <w:rtl w:val="0"/>
        </w:rPr>
        <w:t xml:space="preserve">Joe Mobley made a presentation about divesting fund investments from funds supported by fossil fuels.  See Divestuh.org, where you may add your signature under “Faculty” to supporting divesting our investments.  The goal is to get the carbon-based industries out of fossil fuels and into the energy business--to encourage those businesses to change their approach.  The BOR and the UHF control some funds that have investments in companies that are driven by the use of fossil fuels.</w:t>
      </w:r>
    </w:p>
    <w:p w:rsidR="00000000" w:rsidDel="00000000" w:rsidP="00000000" w:rsidRDefault="00000000" w:rsidRPr="00000000" w14:paraId="00000012">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ADJOURNMENT</w:t>
      </w:r>
    </w:p>
    <w:p w:rsidR="00000000" w:rsidDel="00000000" w:rsidP="00000000" w:rsidRDefault="00000000" w:rsidRPr="00000000" w14:paraId="00000013">
      <w:pPr>
        <w:pageBreakBefore w:val="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 The meeting was adjourned at 4:58 pm.</w:t>
      </w:r>
    </w:p>
    <w:p w:rsidR="00000000" w:rsidDel="00000000" w:rsidP="00000000" w:rsidRDefault="00000000" w:rsidRPr="00000000" w14:paraId="00000014">
      <w:pPr>
        <w:pageBreakBefore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Verdana"/>
  <w:font w:name="Courier New"/>
  <w:font w:name="Times"/>
  <w:font w:name="Noto Sans Symbols">
    <w:embedRegular w:fontKey="{00000000-0000-0000-0000-000000000000}" r:id="rId1" w:subsetted="0"/>
    <w:embedBold w:fontKey="{00000000-0000-0000-0000-000000000000}" r:id="rId2"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Hawai’i at Mānoa Faculty Senate</w:t>
    </w:r>
  </w:p>
  <w:p w:rsidR="00000000" w:rsidDel="00000000" w:rsidP="00000000" w:rsidRDefault="00000000" w:rsidRPr="00000000" w14:paraId="0000001A">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Hawai’i Hall 208 • Honolulu, Hawai’i 96822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pageBreakBefore w:val="0"/>
      <w:spacing w:after="100" w:before="100" w:lineRule="auto"/>
    </w:pPr>
    <w:rPr>
      <w:rFonts w:ascii="Times" w:cs="Times" w:eastAsia="Times" w:hAnsi="Times"/>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hawaii.edu/uhmfs/minutes/2014_15/con_min_20140819REV-3.docx" TargetMode="External"/><Relationship Id="rId7" Type="http://schemas.openxmlformats.org/officeDocument/2006/relationships/hyperlink" Target="http://www.hawaii.edu/uhmfs/minutes/2014_15/con_min_20140819REV-3.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