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RESEARCH AND GRADUATE EDUCATION</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25 September, 2013</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color w:val="000000"/>
          <w:sz w:val="22"/>
          <w:szCs w:val="22"/>
          <w:highlight w:val="yellow"/>
          <w:rtl w:val="0"/>
        </w:rPr>
        <w:t xml:space="preserve">[P = Present; A = Absent; E = Excused]</w:t>
      </w:r>
      <w:r w:rsidDel="00000000" w:rsidR="00000000" w:rsidRPr="00000000">
        <w:rPr>
          <w:rtl w:val="0"/>
        </w:rPr>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358"/>
        <w:gridCol w:w="270"/>
        <w:gridCol w:w="2250"/>
        <w:gridCol w:w="270"/>
        <w:gridCol w:w="2160"/>
        <w:gridCol w:w="270"/>
        <w:gridCol w:w="2340"/>
        <w:gridCol w:w="810"/>
        <w:tblGridChange w:id="0">
          <w:tblGrid>
            <w:gridCol w:w="2358"/>
            <w:gridCol w:w="270"/>
            <w:gridCol w:w="2250"/>
            <w:gridCol w:w="270"/>
            <w:gridCol w:w="2160"/>
            <w:gridCol w:w="270"/>
            <w:gridCol w:w="2340"/>
            <w:gridCol w:w="810"/>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MEMBERS</w:t>
            </w:r>
          </w:p>
        </w:tc>
        <w:tc>
          <w:tcPr/>
          <w:p w:rsidR="00000000" w:rsidDel="00000000" w:rsidP="00000000" w:rsidRDefault="00000000" w:rsidRPr="00000000" w14:paraId="0000000E">
            <w:pPr>
              <w:pageBreakBefore w:val="0"/>
              <w:rPr>
                <w:b w:val="1"/>
                <w:sz w:val="20"/>
                <w:szCs w:val="20"/>
              </w:rPr>
            </w:pPr>
            <w:r w:rsidDel="00000000" w:rsidR="00000000" w:rsidRPr="00000000">
              <w:rPr>
                <w:b w:val="1"/>
                <w:sz w:val="20"/>
                <w:szCs w:val="20"/>
                <w:rtl w:val="0"/>
              </w:rPr>
              <w:t xml:space="preserve">GUESTS</w:t>
            </w:r>
          </w:p>
        </w:tc>
        <w:tc>
          <w:tcPr/>
          <w:p w:rsidR="00000000" w:rsidDel="00000000" w:rsidP="00000000" w:rsidRDefault="00000000" w:rsidRPr="00000000" w14:paraId="0000000F">
            <w:pPr>
              <w:pageBreakBefore w:val="0"/>
              <w:rPr>
                <w:b w:val="1"/>
                <w:sz w:val="20"/>
                <w:szCs w:val="20"/>
              </w:rPr>
            </w:pPr>
            <w:r w:rsidDel="00000000" w:rsidR="00000000" w:rsidRPr="00000000">
              <w:rPr>
                <w:b w:val="1"/>
                <w:sz w:val="20"/>
                <w:szCs w:val="20"/>
                <w:rtl w:val="0"/>
              </w:rPr>
              <w:t xml:space="preserve">TIME</w:t>
            </w:r>
          </w:p>
        </w:tc>
      </w:tr>
      <w:tr>
        <w:trPr>
          <w:cantSplit w:val="0"/>
          <w:tblHeader w:val="0"/>
        </w:trPr>
        <w:tc>
          <w:tcPr/>
          <w:p w:rsidR="00000000" w:rsidDel="00000000" w:rsidP="00000000" w:rsidRDefault="00000000" w:rsidRPr="00000000" w14:paraId="00000010">
            <w:pPr>
              <w:pageBreakBefore w:val="0"/>
              <w:rPr>
                <w:sz w:val="22"/>
                <w:szCs w:val="22"/>
              </w:rPr>
            </w:pPr>
            <w:r w:rsidDel="00000000" w:rsidR="00000000" w:rsidRPr="00000000">
              <w:rPr>
                <w:sz w:val="22"/>
                <w:szCs w:val="22"/>
                <w:rtl w:val="0"/>
              </w:rPr>
              <w:t xml:space="preserve">BONTEKOE, Ron</w:t>
            </w:r>
          </w:p>
        </w:tc>
        <w:tc>
          <w:tcPr/>
          <w:p w:rsidR="00000000" w:rsidDel="00000000" w:rsidP="00000000" w:rsidRDefault="00000000" w:rsidRPr="00000000" w14:paraId="0000001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2">
            <w:pPr>
              <w:pageBreakBefore w:val="0"/>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PARK, Hyoung-June </w:t>
            </w:r>
          </w:p>
        </w:tc>
        <w:tc>
          <w:tcPr/>
          <w:p w:rsidR="00000000" w:rsidDel="00000000" w:rsidP="00000000" w:rsidRDefault="00000000" w:rsidRPr="00000000" w14:paraId="0000001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6">
            <w:pPr>
              <w:pageBreakBefore w:val="0"/>
              <w:rPr>
                <w:sz w:val="22"/>
                <w:szCs w:val="22"/>
              </w:rPr>
            </w:pPr>
            <w:r w:rsidDel="00000000" w:rsidR="00000000" w:rsidRPr="00000000">
              <w:rPr>
                <w:sz w:val="22"/>
                <w:szCs w:val="22"/>
                <w:rtl w:val="0"/>
              </w:rPr>
              <w:t xml:space="preserve">GARROD, Peter </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11:00</w:t>
            </w:r>
          </w:p>
        </w:tc>
      </w:tr>
      <w:tr>
        <w:trPr>
          <w:cantSplit w:val="0"/>
          <w:tblHeader w:val="0"/>
        </w:trPr>
        <w:tc>
          <w:tcPr/>
          <w:p w:rsidR="00000000" w:rsidDel="00000000" w:rsidP="00000000" w:rsidRDefault="00000000" w:rsidRPr="00000000" w14:paraId="00000018">
            <w:pPr>
              <w:pageBreakBefore w:val="0"/>
              <w:rPr>
                <w:sz w:val="22"/>
                <w:szCs w:val="22"/>
              </w:rPr>
            </w:pPr>
            <w:r w:rsidDel="00000000" w:rsidR="00000000" w:rsidRPr="00000000">
              <w:rPr>
                <w:sz w:val="22"/>
                <w:szCs w:val="22"/>
                <w:rtl w:val="0"/>
              </w:rPr>
              <w:t xml:space="preserve">CHAIN, William </w:t>
            </w:r>
          </w:p>
        </w:tc>
        <w:tc>
          <w:tcPr/>
          <w:p w:rsidR="00000000" w:rsidDel="00000000" w:rsidP="00000000" w:rsidRDefault="00000000" w:rsidRPr="00000000" w14:paraId="0000001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A">
            <w:pPr>
              <w:pageBreakBefore w:val="0"/>
              <w:rPr>
                <w:sz w:val="22"/>
                <w:szCs w:val="22"/>
              </w:rPr>
            </w:pPr>
            <w:r w:rsidDel="00000000" w:rsidR="00000000" w:rsidRPr="00000000">
              <w:rPr>
                <w:sz w:val="22"/>
                <w:szCs w:val="22"/>
                <w:rtl w:val="0"/>
              </w:rPr>
              <w:t xml:space="preserve">KIM, Albert </w:t>
            </w:r>
          </w:p>
        </w:tc>
        <w:tc>
          <w:tcPr/>
          <w:p w:rsidR="00000000" w:rsidDel="00000000" w:rsidP="00000000" w:rsidRDefault="00000000" w:rsidRPr="00000000" w14:paraId="0000001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RAYNER, Martin </w:t>
            </w:r>
          </w:p>
        </w:tc>
        <w:tc>
          <w:tcPr/>
          <w:p w:rsidR="00000000" w:rsidDel="00000000" w:rsidP="00000000" w:rsidRDefault="00000000" w:rsidRPr="00000000" w14:paraId="0000001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E">
            <w:pPr>
              <w:pageBreakBefore w:val="0"/>
              <w:rPr>
                <w:sz w:val="22"/>
                <w:szCs w:val="22"/>
              </w:rPr>
            </w:pPr>
            <w:r w:rsidDel="00000000" w:rsidR="00000000" w:rsidRPr="00000000">
              <w:rPr>
                <w:sz w:val="22"/>
                <w:szCs w:val="22"/>
                <w:rtl w:val="0"/>
              </w:rPr>
              <w:t xml:space="preserve">CHAN-HALBRENDT, Catherine </w:t>
            </w:r>
          </w:p>
        </w:tc>
        <w:tc>
          <w:tcPr/>
          <w:p w:rsidR="00000000" w:rsidDel="00000000" w:rsidP="00000000" w:rsidRDefault="00000000" w:rsidRPr="00000000" w14:paraId="0000001F">
            <w:pPr>
              <w:pageBreakBefore w:val="0"/>
              <w:rPr>
                <w:sz w:val="22"/>
                <w:szCs w:val="22"/>
              </w:rPr>
            </w:pPr>
            <w:r w:rsidDel="00000000" w:rsidR="00000000" w:rsidRPr="00000000">
              <w:rPr>
                <w:sz w:val="22"/>
                <w:szCs w:val="22"/>
                <w:rtl w:val="0"/>
              </w:rPr>
              <w:t xml:space="preserve">11:00</w:t>
            </w:r>
          </w:p>
        </w:tc>
      </w:tr>
      <w:tr>
        <w:trPr>
          <w:cantSplit w:val="0"/>
          <w:trHeight w:val="260" w:hRule="atLeast"/>
          <w:tblHeader w:val="0"/>
        </w:trPr>
        <w:tc>
          <w:tcPr/>
          <w:p w:rsidR="00000000" w:rsidDel="00000000" w:rsidP="00000000" w:rsidRDefault="00000000" w:rsidRPr="00000000" w14:paraId="00000020">
            <w:pPr>
              <w:pageBreakBefore w:val="0"/>
              <w:rPr>
                <w:sz w:val="22"/>
                <w:szCs w:val="22"/>
              </w:rPr>
            </w:pPr>
            <w:r w:rsidDel="00000000" w:rsidR="00000000" w:rsidRPr="00000000">
              <w:rPr>
                <w:sz w:val="22"/>
                <w:szCs w:val="22"/>
                <w:rtl w:val="0"/>
              </w:rPr>
              <w:t xml:space="preserve">DAVIDSON, Elizabeth</w:t>
            </w:r>
          </w:p>
        </w:tc>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2">
            <w:pPr>
              <w:pageBreakBefore w:val="0"/>
              <w:rPr>
                <w:sz w:val="22"/>
                <w:szCs w:val="22"/>
              </w:rPr>
            </w:pPr>
            <w:r w:rsidDel="00000000" w:rsidR="00000000" w:rsidRPr="00000000">
              <w:rPr>
                <w:sz w:val="22"/>
                <w:szCs w:val="22"/>
                <w:rtl w:val="0"/>
              </w:rPr>
              <w:t xml:space="preserve">LENZ, Petra </w:t>
            </w:r>
          </w:p>
        </w:tc>
        <w:tc>
          <w:tcPr/>
          <w:p w:rsidR="00000000" w:rsidDel="00000000" w:rsidP="00000000" w:rsidRDefault="00000000" w:rsidRPr="00000000" w14:paraId="0000002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4">
            <w:pPr>
              <w:pageBreakBefore w:val="0"/>
              <w:rPr>
                <w:sz w:val="22"/>
                <w:szCs w:val="22"/>
              </w:rPr>
            </w:pPr>
            <w:r w:rsidDel="00000000" w:rsidR="00000000" w:rsidRPr="00000000">
              <w:rPr>
                <w:sz w:val="22"/>
                <w:szCs w:val="22"/>
                <w:rtl w:val="0"/>
              </w:rPr>
              <w:t xml:space="preserve">SANDERS, David </w:t>
            </w:r>
          </w:p>
        </w:tc>
        <w:tc>
          <w:tcPr/>
          <w:p w:rsidR="00000000" w:rsidDel="00000000" w:rsidP="00000000" w:rsidRDefault="00000000" w:rsidRPr="00000000" w14:paraId="0000002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c>
          <w:tcPr/>
          <w:p w:rsidR="00000000" w:rsidDel="00000000" w:rsidP="00000000" w:rsidRDefault="00000000" w:rsidRPr="00000000" w14:paraId="00000027">
            <w:pPr>
              <w:pageBreakBefore w:val="0"/>
              <w:jc w:val="center"/>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8">
            <w:pPr>
              <w:pageBreakBefore w:val="0"/>
              <w:rPr>
                <w:sz w:val="22"/>
                <w:szCs w:val="22"/>
              </w:rPr>
            </w:pPr>
            <w:r w:rsidDel="00000000" w:rsidR="00000000" w:rsidRPr="00000000">
              <w:rPr>
                <w:sz w:val="22"/>
                <w:szCs w:val="22"/>
                <w:rtl w:val="0"/>
              </w:rPr>
              <w:t xml:space="preserve">DEBARYSHE, Barbara</w:t>
            </w:r>
          </w:p>
        </w:tc>
        <w:tc>
          <w:tcPr/>
          <w:p w:rsidR="00000000" w:rsidDel="00000000" w:rsidP="00000000" w:rsidRDefault="00000000" w:rsidRPr="00000000" w14:paraId="0000002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A">
            <w:pPr>
              <w:pageBreakBefore w:val="0"/>
              <w:rPr>
                <w:sz w:val="22"/>
                <w:szCs w:val="22"/>
              </w:rPr>
            </w:pPr>
            <w:r w:rsidDel="00000000" w:rsidR="00000000" w:rsidRPr="00000000">
              <w:rPr>
                <w:sz w:val="22"/>
                <w:szCs w:val="22"/>
                <w:rtl w:val="0"/>
              </w:rPr>
              <w:t xml:space="preserve">MATTER, Michelle</w:t>
            </w:r>
          </w:p>
        </w:tc>
        <w:tc>
          <w:tcPr/>
          <w:p w:rsidR="00000000" w:rsidDel="00000000" w:rsidP="00000000" w:rsidRDefault="00000000" w:rsidRPr="00000000" w14:paraId="0000002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C">
            <w:pPr>
              <w:pageBreakBefore w:val="0"/>
              <w:rPr>
                <w:sz w:val="22"/>
                <w:szCs w:val="22"/>
              </w:rPr>
            </w:pPr>
            <w:r w:rsidDel="00000000" w:rsidR="00000000" w:rsidRPr="00000000">
              <w:rPr>
                <w:sz w:val="22"/>
                <w:szCs w:val="22"/>
                <w:rtl w:val="0"/>
              </w:rPr>
              <w:t xml:space="preserve">THOMAS, Florence </w:t>
            </w:r>
          </w:p>
        </w:tc>
        <w:tc>
          <w:tcPr/>
          <w:p w:rsidR="00000000" w:rsidDel="00000000" w:rsidP="00000000" w:rsidRDefault="00000000" w:rsidRPr="00000000" w14:paraId="0000002D">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E">
            <w:pPr>
              <w:pageBreakBefore w:val="0"/>
              <w:rPr>
                <w:sz w:val="22"/>
                <w:szCs w:val="22"/>
              </w:rPr>
            </w:pPr>
            <w:r w:rsidDel="00000000" w:rsidR="00000000" w:rsidRPr="00000000">
              <w:rPr>
                <w:rtl w:val="0"/>
              </w:rPr>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0">
            <w:pPr>
              <w:pageBreakBefore w:val="0"/>
              <w:rPr>
                <w:sz w:val="22"/>
                <w:szCs w:val="22"/>
              </w:rPr>
            </w:pPr>
            <w:r w:rsidDel="00000000" w:rsidR="00000000" w:rsidRPr="00000000">
              <w:rPr>
                <w:sz w:val="22"/>
                <w:szCs w:val="22"/>
                <w:rtl w:val="0"/>
              </w:rPr>
              <w:t xml:space="preserve">DYE, Timothy</w:t>
            </w:r>
          </w:p>
        </w:tc>
        <w:tc>
          <w:tcPr/>
          <w:p w:rsidR="00000000" w:rsidDel="00000000" w:rsidP="00000000" w:rsidRDefault="00000000" w:rsidRPr="00000000" w14:paraId="00000031">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2">
            <w:pPr>
              <w:pageBreakBefore w:val="0"/>
              <w:rPr>
                <w:sz w:val="22"/>
                <w:szCs w:val="22"/>
              </w:rPr>
            </w:pPr>
            <w:r w:rsidDel="00000000" w:rsidR="00000000" w:rsidRPr="00000000">
              <w:rPr>
                <w:sz w:val="22"/>
                <w:szCs w:val="22"/>
                <w:rtl w:val="0"/>
              </w:rPr>
              <w:t xml:space="preserve">MELZER, Michael</w:t>
            </w:r>
          </w:p>
        </w:tc>
        <w:tc>
          <w:tcPr/>
          <w:p w:rsidR="00000000" w:rsidDel="00000000" w:rsidP="00000000" w:rsidRDefault="00000000" w:rsidRPr="00000000" w14:paraId="00000033">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4">
            <w:pPr>
              <w:pageBreakBefore w:val="0"/>
              <w:rPr>
                <w:sz w:val="22"/>
                <w:szCs w:val="22"/>
              </w:rPr>
            </w:pPr>
            <w:r w:rsidDel="00000000" w:rsidR="00000000" w:rsidRPr="00000000">
              <w:rPr>
                <w:sz w:val="22"/>
                <w:szCs w:val="22"/>
                <w:rtl w:val="0"/>
              </w:rPr>
              <w:t xml:space="preserve">PAKELE, Ho'omano</w:t>
            </w:r>
          </w:p>
        </w:tc>
        <w:tc>
          <w:tcPr/>
          <w:p w:rsidR="00000000" w:rsidDel="00000000" w:rsidP="00000000" w:rsidRDefault="00000000" w:rsidRPr="00000000" w14:paraId="00000035">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c>
          <w:tcPr/>
          <w:p w:rsidR="00000000" w:rsidDel="00000000" w:rsidP="00000000" w:rsidRDefault="00000000" w:rsidRPr="00000000" w14:paraId="00000037">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38">
            <w:pPr>
              <w:pageBreakBefore w:val="0"/>
              <w:rPr>
                <w:sz w:val="22"/>
                <w:szCs w:val="22"/>
              </w:rPr>
            </w:pPr>
            <w:r w:rsidDel="00000000" w:rsidR="00000000" w:rsidRPr="00000000">
              <w:rPr>
                <w:sz w:val="22"/>
                <w:szCs w:val="22"/>
                <w:rtl w:val="0"/>
              </w:rPr>
              <w:t xml:space="preserve">HONG, Seunghye</w:t>
            </w:r>
          </w:p>
        </w:tc>
        <w:tc>
          <w:tcPr/>
          <w:p w:rsidR="00000000" w:rsidDel="00000000" w:rsidP="00000000" w:rsidRDefault="00000000" w:rsidRPr="00000000" w14:paraId="00000039">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A">
            <w:pPr>
              <w:pageBreakBefore w:val="0"/>
              <w:rPr>
                <w:sz w:val="22"/>
                <w:szCs w:val="22"/>
              </w:rPr>
            </w:pPr>
            <w:r w:rsidDel="00000000" w:rsidR="00000000" w:rsidRPr="00000000">
              <w:rPr>
                <w:sz w:val="22"/>
                <w:szCs w:val="22"/>
                <w:rtl w:val="0"/>
              </w:rPr>
              <w:t xml:space="preserve">NGUYEN, Hannah</w:t>
            </w:r>
          </w:p>
        </w:tc>
        <w:tc>
          <w:tcPr/>
          <w:p w:rsidR="00000000" w:rsidDel="00000000" w:rsidP="00000000" w:rsidRDefault="00000000" w:rsidRPr="00000000" w14:paraId="0000003B">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3C">
            <w:pPr>
              <w:pageBreakBefore w:val="0"/>
              <w:rPr>
                <w:sz w:val="22"/>
                <w:szCs w:val="22"/>
              </w:rPr>
            </w:pPr>
            <w:r w:rsidDel="00000000" w:rsidR="00000000" w:rsidRPr="00000000">
              <w:rPr>
                <w:rtl w:val="0"/>
              </w:rPr>
            </w:r>
          </w:p>
        </w:tc>
        <w:tc>
          <w:tcPr/>
          <w:p w:rsidR="00000000" w:rsidDel="00000000" w:rsidP="00000000" w:rsidRDefault="00000000" w:rsidRPr="00000000" w14:paraId="0000003D">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3E">
            <w:pPr>
              <w:pageBreakBefore w:val="0"/>
              <w:rPr>
                <w:sz w:val="22"/>
                <w:szCs w:val="22"/>
              </w:rPr>
            </w:pPr>
            <w:r w:rsidDel="00000000" w:rsidR="00000000" w:rsidRPr="00000000">
              <w:rPr>
                <w:rtl w:val="0"/>
              </w:rPr>
            </w:r>
          </w:p>
        </w:tc>
        <w:tc>
          <w:tcPr/>
          <w:p w:rsidR="00000000" w:rsidDel="00000000" w:rsidP="00000000" w:rsidRDefault="00000000" w:rsidRPr="00000000" w14:paraId="0000003F">
            <w:pPr>
              <w:pageBreakBefore w:val="0"/>
              <w:jc w:val="center"/>
              <w:rPr>
                <w:sz w:val="22"/>
                <w:szCs w:val="22"/>
              </w:rPr>
            </w:pPr>
            <w:r w:rsidDel="00000000" w:rsidR="00000000" w:rsidRPr="00000000">
              <w:rPr>
                <w:rtl w:val="0"/>
              </w:rPr>
            </w:r>
          </w:p>
        </w:tc>
      </w:tr>
    </w:tbl>
    <w:p w:rsidR="00000000" w:rsidDel="00000000" w:rsidP="00000000" w:rsidRDefault="00000000" w:rsidRPr="00000000" w14:paraId="00000040">
      <w:pPr>
        <w:pageBreakBefore w:val="0"/>
        <w:rPr>
          <w:sz w:val="22"/>
          <w:szCs w:val="22"/>
        </w:rPr>
      </w:pPr>
      <w:r w:rsidDel="00000000" w:rsidR="00000000" w:rsidRPr="00000000">
        <w:rPr>
          <w:rtl w:val="0"/>
        </w:rPr>
      </w:r>
    </w:p>
    <w:tbl>
      <w:tblPr>
        <w:tblStyle w:val="Table2"/>
        <w:tblW w:w="1072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088"/>
        <w:gridCol w:w="6120"/>
        <w:gridCol w:w="2520"/>
        <w:tblGridChange w:id="0">
          <w:tblGrid>
            <w:gridCol w:w="2088"/>
            <w:gridCol w:w="6120"/>
            <w:gridCol w:w="2520"/>
          </w:tblGrid>
        </w:tblGridChange>
      </w:tblGrid>
      <w:tr>
        <w:trPr>
          <w:cantSplit w:val="0"/>
          <w:tblHeader w:val="0"/>
        </w:trPr>
        <w:tc>
          <w:tcPr/>
          <w:p w:rsidR="00000000" w:rsidDel="00000000" w:rsidP="00000000" w:rsidRDefault="00000000" w:rsidRPr="00000000" w14:paraId="00000041">
            <w:pPr>
              <w:pageBreakBefore w:val="0"/>
              <w:rPr>
                <w:b w:val="1"/>
                <w:sz w:val="20"/>
                <w:szCs w:val="20"/>
              </w:rPr>
            </w:pPr>
            <w:r w:rsidDel="00000000" w:rsidR="00000000" w:rsidRPr="00000000">
              <w:rPr>
                <w:b w:val="1"/>
                <w:sz w:val="20"/>
                <w:szCs w:val="20"/>
                <w:rtl w:val="0"/>
              </w:rPr>
              <w:t xml:space="preserve">SUBJECT</w:t>
            </w:r>
          </w:p>
        </w:tc>
        <w:tc>
          <w:tcPr/>
          <w:p w:rsidR="00000000" w:rsidDel="00000000" w:rsidP="00000000" w:rsidRDefault="00000000" w:rsidRPr="00000000" w14:paraId="00000042">
            <w:pPr>
              <w:pageBreakBefore w:val="0"/>
              <w:rPr>
                <w:b w:val="1"/>
                <w:sz w:val="20"/>
                <w:szCs w:val="20"/>
              </w:rPr>
            </w:pPr>
            <w:r w:rsidDel="00000000" w:rsidR="00000000" w:rsidRPr="00000000">
              <w:rPr>
                <w:b w:val="1"/>
                <w:sz w:val="20"/>
                <w:szCs w:val="20"/>
                <w:rtl w:val="0"/>
              </w:rPr>
              <w:t xml:space="preserve">DISCUSSION / INFORMATION</w:t>
            </w:r>
          </w:p>
        </w:tc>
        <w:tc>
          <w:tcPr/>
          <w:p w:rsidR="00000000" w:rsidDel="00000000" w:rsidP="00000000" w:rsidRDefault="00000000" w:rsidRPr="00000000" w14:paraId="00000043">
            <w:pPr>
              <w:pageBreakBefore w:val="0"/>
              <w:rPr>
                <w:b w:val="1"/>
                <w:sz w:val="20"/>
                <w:szCs w:val="20"/>
              </w:rPr>
            </w:pPr>
            <w:r w:rsidDel="00000000" w:rsidR="00000000" w:rsidRPr="00000000">
              <w:rPr>
                <w:b w:val="1"/>
                <w:sz w:val="20"/>
                <w:szCs w:val="20"/>
                <w:rtl w:val="0"/>
              </w:rPr>
              <w:t xml:space="preserve">ACTION / STRATEGY / RESPONSIBLE PERSON</w:t>
            </w:r>
          </w:p>
        </w:tc>
      </w:tr>
      <w:tr>
        <w:trPr>
          <w:cantSplit w:val="0"/>
          <w:trHeight w:val="860" w:hRule="atLeast"/>
          <w:tblHeader w:val="0"/>
        </w:trPr>
        <w:tc>
          <w:tcPr/>
          <w:p w:rsidR="00000000" w:rsidDel="00000000" w:rsidP="00000000" w:rsidRDefault="00000000" w:rsidRPr="00000000" w14:paraId="00000044">
            <w:pPr>
              <w:pageBreakBefore w:val="0"/>
              <w:rPr>
                <w:b w:val="1"/>
                <w:sz w:val="20"/>
                <w:szCs w:val="20"/>
              </w:rPr>
            </w:pPr>
            <w:r w:rsidDel="00000000" w:rsidR="00000000" w:rsidRPr="00000000">
              <w:rPr>
                <w:b w:val="1"/>
                <w:sz w:val="20"/>
                <w:szCs w:val="20"/>
                <w:rtl w:val="0"/>
              </w:rPr>
              <w:t xml:space="preserve">CALL TO ORDER</w:t>
            </w:r>
          </w:p>
        </w:tc>
        <w:tc>
          <w:tcPr/>
          <w:p w:rsidR="00000000" w:rsidDel="00000000" w:rsidP="00000000" w:rsidRDefault="00000000" w:rsidRPr="00000000" w14:paraId="00000045">
            <w:pPr>
              <w:pageBreakBefore w:val="0"/>
              <w:rPr>
                <w:sz w:val="22"/>
                <w:szCs w:val="22"/>
              </w:rPr>
            </w:pPr>
            <w:r w:rsidDel="00000000" w:rsidR="00000000" w:rsidRPr="00000000">
              <w:rPr>
                <w:sz w:val="22"/>
                <w:szCs w:val="22"/>
                <w:rtl w:val="0"/>
              </w:rPr>
              <w:t xml:space="preserve">D. Sanders called the meeting to order at 11am and asked those present to sign in.  It was noted that all members of CoRGE were present (4 for the first time), and that 2 visitors were in attendance.</w:t>
            </w:r>
          </w:p>
        </w:tc>
        <w:tc>
          <w:tcPr/>
          <w:p w:rsidR="00000000" w:rsidDel="00000000" w:rsidP="00000000" w:rsidRDefault="00000000" w:rsidRPr="00000000" w14:paraId="00000046">
            <w:pPr>
              <w:pageBreakBefore w:val="0"/>
              <w:rPr>
                <w:sz w:val="22"/>
                <w:szCs w:val="22"/>
              </w:rPr>
            </w:pPr>
            <w:r w:rsidDel="00000000" w:rsidR="00000000" w:rsidRPr="00000000">
              <w:rPr>
                <w:rtl w:val="0"/>
              </w:rPr>
            </w:r>
          </w:p>
        </w:tc>
      </w:tr>
      <w:tr>
        <w:trPr>
          <w:cantSplit w:val="0"/>
          <w:trHeight w:val="1120" w:hRule="atLeast"/>
          <w:tblHeader w:val="0"/>
        </w:trPr>
        <w:tc>
          <w:tcPr/>
          <w:p w:rsidR="00000000" w:rsidDel="00000000" w:rsidP="00000000" w:rsidRDefault="00000000" w:rsidRPr="00000000" w14:paraId="00000047">
            <w:pPr>
              <w:pageBreakBefore w:val="0"/>
              <w:rPr>
                <w:b w:val="1"/>
                <w:sz w:val="20"/>
                <w:szCs w:val="20"/>
              </w:rPr>
            </w:pPr>
            <w:r w:rsidDel="00000000" w:rsidR="00000000" w:rsidRPr="00000000">
              <w:rPr>
                <w:b w:val="1"/>
                <w:sz w:val="20"/>
                <w:szCs w:val="20"/>
                <w:rtl w:val="0"/>
              </w:rPr>
              <w:t xml:space="preserve">ELECTION OF OFFICERS</w:t>
            </w:r>
          </w:p>
        </w:tc>
        <w:tc>
          <w:tcPr/>
          <w:p w:rsidR="00000000" w:rsidDel="00000000" w:rsidP="00000000" w:rsidRDefault="00000000" w:rsidRPr="00000000" w14:paraId="00000048">
            <w:pPr>
              <w:pageBreakBefore w:val="0"/>
              <w:spacing w:after="2.4" w:before="2.4" w:lineRule="auto"/>
              <w:rPr>
                <w:sz w:val="22"/>
                <w:szCs w:val="22"/>
              </w:rPr>
            </w:pPr>
            <w:r w:rsidDel="00000000" w:rsidR="00000000" w:rsidRPr="00000000">
              <w:rPr>
                <w:sz w:val="22"/>
                <w:szCs w:val="22"/>
                <w:rtl w:val="0"/>
              </w:rPr>
              <w:t xml:space="preserve">The full committee re-confirmed the appointments of D. Sanders as Chair and M. Rayner as VChair, and noted that R. Bontekoe is the SEC liaison to CoRGE.   It was also agreed that the Chair (and VChair in the Chair’s absence) would take minutes of the meetings.</w:t>
            </w:r>
          </w:p>
        </w:tc>
        <w:tc>
          <w:tcPr/>
          <w:p w:rsidR="00000000" w:rsidDel="00000000" w:rsidP="00000000" w:rsidRDefault="00000000" w:rsidRPr="00000000" w14:paraId="0000004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0" w:hRule="atLeast"/>
          <w:tblHeader w:val="0"/>
        </w:trPr>
        <w:tc>
          <w:tcPr/>
          <w:p w:rsidR="00000000" w:rsidDel="00000000" w:rsidP="00000000" w:rsidRDefault="00000000" w:rsidRPr="00000000" w14:paraId="0000004A">
            <w:pPr>
              <w:pageBreakBefore w:val="0"/>
              <w:rPr>
                <w:b w:val="1"/>
                <w:sz w:val="20"/>
                <w:szCs w:val="20"/>
              </w:rPr>
            </w:pPr>
            <w:r w:rsidDel="00000000" w:rsidR="00000000" w:rsidRPr="00000000">
              <w:rPr>
                <w:b w:val="1"/>
                <w:sz w:val="20"/>
                <w:szCs w:val="20"/>
                <w:rtl w:val="0"/>
              </w:rPr>
              <w:t xml:space="preserve">APPROVAL OF MINUTES</w:t>
            </w:r>
          </w:p>
        </w:tc>
        <w:tc>
          <w:tcPr/>
          <w:p w:rsidR="00000000" w:rsidDel="00000000" w:rsidP="00000000" w:rsidRDefault="00000000" w:rsidRPr="00000000" w14:paraId="0000004B">
            <w:pPr>
              <w:pageBreakBefore w:val="0"/>
              <w:spacing w:after="2.4" w:before="2.4" w:lineRule="auto"/>
              <w:rPr>
                <w:sz w:val="22"/>
                <w:szCs w:val="22"/>
              </w:rPr>
            </w:pPr>
            <w:r w:rsidDel="00000000" w:rsidR="00000000" w:rsidRPr="00000000">
              <w:rPr>
                <w:sz w:val="22"/>
                <w:szCs w:val="22"/>
                <w:rtl w:val="0"/>
              </w:rPr>
              <w:t xml:space="preserve">Minutes of the 18 Sept, 2013 meeting were displayed.  Following correction of the spelling of 3 member names, the minutes were unanimously approved.</w:t>
            </w:r>
          </w:p>
        </w:tc>
        <w:tc>
          <w:tcPr/>
          <w:p w:rsidR="00000000" w:rsidDel="00000000" w:rsidP="00000000" w:rsidRDefault="00000000" w:rsidRPr="00000000" w14:paraId="0000004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960" w:hRule="atLeast"/>
          <w:tblHeader w:val="0"/>
        </w:trPr>
        <w:tc>
          <w:tcPr/>
          <w:p w:rsidR="00000000" w:rsidDel="00000000" w:rsidP="00000000" w:rsidRDefault="00000000" w:rsidRPr="00000000" w14:paraId="0000004D">
            <w:pPr>
              <w:pageBreakBefore w:val="0"/>
              <w:rPr>
                <w:b w:val="1"/>
                <w:sz w:val="20"/>
                <w:szCs w:val="20"/>
              </w:rPr>
            </w:pPr>
            <w:r w:rsidDel="00000000" w:rsidR="00000000" w:rsidRPr="00000000">
              <w:rPr>
                <w:b w:val="1"/>
                <w:sz w:val="20"/>
                <w:szCs w:val="20"/>
                <w:rtl w:val="0"/>
              </w:rPr>
              <w:t xml:space="preserve">REVIEW OF MFS ISSUES ASSIGNED TO CoRGE</w:t>
            </w:r>
          </w:p>
        </w:tc>
        <w:tc>
          <w:tcPr/>
          <w:p w:rsidR="00000000" w:rsidDel="00000000" w:rsidP="00000000" w:rsidRDefault="00000000" w:rsidRPr="00000000" w14:paraId="0000004E">
            <w:pPr>
              <w:pageBreakBefore w:val="0"/>
              <w:spacing w:after="2.4" w:before="2.4" w:lineRule="auto"/>
              <w:rPr>
                <w:color w:val="000000"/>
                <w:sz w:val="22"/>
                <w:szCs w:val="22"/>
              </w:rPr>
            </w:pPr>
            <w:r w:rsidDel="00000000" w:rsidR="00000000" w:rsidRPr="00000000">
              <w:rPr>
                <w:color w:val="000000"/>
                <w:sz w:val="22"/>
                <w:szCs w:val="22"/>
                <w:rtl w:val="0"/>
              </w:rPr>
              <w:t xml:space="preserve">D. Sanders asked SEC liaison, R. Bontekoe to quickly review the history of COR -&gt; CoRGE, and to highlight the most pressing  issues assigned to CoRGE for the 2013-14 academic year.  R. Bontekoe reviewed good practices for writing MFS Resolutions.</w:t>
            </w:r>
          </w:p>
        </w:tc>
        <w:tc>
          <w:tcPr/>
          <w:p w:rsidR="00000000" w:rsidDel="00000000" w:rsidP="00000000" w:rsidRDefault="00000000" w:rsidRPr="00000000" w14:paraId="0000004F">
            <w:pPr>
              <w:pageBreakBefore w:val="0"/>
              <w:spacing w:after="2.4" w:before="2.4" w:lineRule="auto"/>
              <w:rPr>
                <w:sz w:val="22"/>
                <w:szCs w:val="22"/>
              </w:rPr>
            </w:pPr>
            <w:r w:rsidDel="00000000" w:rsidR="00000000" w:rsidRPr="00000000">
              <w:rPr>
                <w:sz w:val="22"/>
                <w:szCs w:val="22"/>
                <w:rtl w:val="0"/>
              </w:rPr>
              <w:t xml:space="preserve">D. Sanders stressed the need for CoRGE to act on assigned issues in a timely manner.</w:t>
            </w:r>
          </w:p>
        </w:tc>
      </w:tr>
      <w:tr>
        <w:trPr>
          <w:cantSplit w:val="0"/>
          <w:trHeight w:val="460" w:hRule="atLeast"/>
          <w:tblHeader w:val="0"/>
        </w:trPr>
        <w:tc>
          <w:tcPr/>
          <w:p w:rsidR="00000000" w:rsidDel="00000000" w:rsidP="00000000" w:rsidRDefault="00000000" w:rsidRPr="00000000" w14:paraId="00000050">
            <w:pPr>
              <w:pageBreakBefore w:val="0"/>
              <w:rPr>
                <w:b w:val="1"/>
                <w:sz w:val="20"/>
                <w:szCs w:val="20"/>
              </w:rPr>
            </w:pPr>
            <w:r w:rsidDel="00000000" w:rsidR="00000000" w:rsidRPr="00000000">
              <w:rPr>
                <w:b w:val="1"/>
                <w:sz w:val="20"/>
                <w:szCs w:val="20"/>
                <w:rtl w:val="0"/>
              </w:rPr>
              <w:t xml:space="preserve">PROFESSIONAL MASTERS IN ENVIRONMENTAL MANAGEMENT</w:t>
            </w:r>
          </w:p>
        </w:tc>
        <w:tc>
          <w:tcPr/>
          <w:p w:rsidR="00000000" w:rsidDel="00000000" w:rsidP="00000000" w:rsidRDefault="00000000" w:rsidRPr="00000000" w14:paraId="00000051">
            <w:pPr>
              <w:pageBreakBefore w:val="0"/>
              <w:rPr>
                <w:color w:val="000000"/>
                <w:sz w:val="22"/>
                <w:szCs w:val="22"/>
              </w:rPr>
            </w:pPr>
            <w:r w:rsidDel="00000000" w:rsidR="00000000" w:rsidRPr="00000000">
              <w:rPr>
                <w:color w:val="000000"/>
                <w:sz w:val="22"/>
                <w:szCs w:val="22"/>
                <w:rtl w:val="0"/>
              </w:rPr>
              <w:t xml:space="preserve">P. Garrod and C. Chan-Halbrendt presented the rational behind the request to change the name of the current </w:t>
            </w:r>
            <w:r w:rsidDel="00000000" w:rsidR="00000000" w:rsidRPr="00000000">
              <w:rPr>
                <w:color w:val="000000"/>
                <w:sz w:val="22"/>
                <w:szCs w:val="22"/>
                <w:u w:val="single"/>
                <w:rtl w:val="0"/>
              </w:rPr>
              <w:t xml:space="preserve">MS in Natural Resources and Environmental Management</w:t>
            </w:r>
            <w:r w:rsidDel="00000000" w:rsidR="00000000" w:rsidRPr="00000000">
              <w:rPr>
                <w:color w:val="000000"/>
                <w:sz w:val="22"/>
                <w:szCs w:val="22"/>
                <w:rtl w:val="0"/>
              </w:rPr>
              <w:t xml:space="preserve">  to a </w:t>
            </w:r>
            <w:r w:rsidDel="00000000" w:rsidR="00000000" w:rsidRPr="00000000">
              <w:rPr>
                <w:color w:val="000000"/>
                <w:sz w:val="22"/>
                <w:szCs w:val="22"/>
                <w:u w:val="single"/>
                <w:rtl w:val="0"/>
              </w:rPr>
              <w:t xml:space="preserve">Professional Masters in Environmental Management.</w:t>
            </w:r>
            <w:r w:rsidDel="00000000" w:rsidR="00000000" w:rsidRPr="00000000">
              <w:rPr>
                <w:color w:val="000000"/>
                <w:sz w:val="22"/>
                <w:szCs w:val="22"/>
                <w:rtl w:val="0"/>
              </w:rPr>
              <w:t xml:space="preserve">   CoRGE expressed concern that this was more than a name change, and was should be more properly be handled as a New Program Approval.  The VCAA office and the Graduate Dean should be consulted since their offices will be involved in the final decision.  CoRGE thanked our guests for agreeing to attend on such short notice, and for their clarifying remarks concerning the proposal.</w:t>
            </w:r>
          </w:p>
        </w:tc>
        <w:tc>
          <w:tcPr/>
          <w:p w:rsidR="00000000" w:rsidDel="00000000" w:rsidP="00000000" w:rsidRDefault="00000000" w:rsidRPr="00000000" w14:paraId="00000052">
            <w:pPr>
              <w:pageBreakBefore w:val="0"/>
              <w:rPr>
                <w:sz w:val="22"/>
                <w:szCs w:val="22"/>
              </w:rPr>
            </w:pPr>
            <w:r w:rsidDel="00000000" w:rsidR="00000000" w:rsidRPr="00000000">
              <w:rPr>
                <w:sz w:val="22"/>
                <w:szCs w:val="22"/>
                <w:rtl w:val="0"/>
              </w:rPr>
              <w:t xml:space="preserve">D. Sanders agreed to contact M. Yamada and P. Cooper to get their input, and report back to CoRGE asap.</w:t>
            </w:r>
          </w:p>
        </w:tc>
      </w:tr>
      <w:tr>
        <w:trPr>
          <w:cantSplit w:val="0"/>
          <w:trHeight w:val="460" w:hRule="atLeast"/>
          <w:tblHeader w:val="0"/>
        </w:trPr>
        <w:tc>
          <w:tcPr/>
          <w:p w:rsidR="00000000" w:rsidDel="00000000" w:rsidP="00000000" w:rsidRDefault="00000000" w:rsidRPr="00000000" w14:paraId="00000053">
            <w:pPr>
              <w:pageBreakBefore w:val="0"/>
              <w:rPr>
                <w:b w:val="1"/>
                <w:sz w:val="20"/>
                <w:szCs w:val="20"/>
              </w:rPr>
            </w:pPr>
            <w:r w:rsidDel="00000000" w:rsidR="00000000" w:rsidRPr="00000000">
              <w:rPr>
                <w:b w:val="1"/>
                <w:sz w:val="20"/>
                <w:szCs w:val="20"/>
                <w:rtl w:val="0"/>
              </w:rPr>
              <w:t xml:space="preserve">REMOVAL OF FACULTY PI FROM GRANTS</w:t>
            </w:r>
          </w:p>
        </w:tc>
        <w:tc>
          <w:tcPr/>
          <w:p w:rsidR="00000000" w:rsidDel="00000000" w:rsidP="00000000" w:rsidRDefault="00000000" w:rsidRPr="00000000" w14:paraId="00000054">
            <w:pPr>
              <w:pageBreakBefore w:val="0"/>
              <w:rPr>
                <w:sz w:val="22"/>
                <w:szCs w:val="22"/>
              </w:rPr>
            </w:pPr>
            <w:r w:rsidDel="00000000" w:rsidR="00000000" w:rsidRPr="00000000">
              <w:rPr>
                <w:sz w:val="22"/>
                <w:szCs w:val="22"/>
                <w:rtl w:val="0"/>
              </w:rPr>
              <w:t xml:space="preserve">CoRGE has been asked to comment on ORS proposed changes to  Administrative Procedure No. A8.926 (see pp. 8-10), regarding </w:t>
            </w:r>
          </w:p>
          <w:p w:rsidR="00000000" w:rsidDel="00000000" w:rsidP="00000000" w:rsidRDefault="00000000" w:rsidRPr="00000000" w14:paraId="00000055">
            <w:pPr>
              <w:pageBreakBefore w:val="0"/>
              <w:rPr>
                <w:sz w:val="22"/>
                <w:szCs w:val="22"/>
              </w:rPr>
            </w:pPr>
            <w:r w:rsidDel="00000000" w:rsidR="00000000" w:rsidRPr="00000000">
              <w:rPr>
                <w:sz w:val="22"/>
                <w:szCs w:val="22"/>
                <w:rtl w:val="0"/>
              </w:rPr>
              <w:t xml:space="preserve">reasons for initiating removal of project PIs from grants.  </w:t>
            </w:r>
          </w:p>
          <w:p w:rsidR="00000000" w:rsidDel="00000000" w:rsidP="00000000" w:rsidRDefault="00000000" w:rsidRPr="00000000" w14:paraId="00000056">
            <w:pPr>
              <w:pageBreakBefore w:val="0"/>
              <w:rPr>
                <w:sz w:val="22"/>
                <w:szCs w:val="22"/>
              </w:rPr>
            </w:pPr>
            <w:r w:rsidDel="00000000" w:rsidR="00000000" w:rsidRPr="00000000">
              <w:rPr>
                <w:sz w:val="22"/>
                <w:szCs w:val="22"/>
                <w:rtl w:val="0"/>
              </w:rPr>
              <w:t xml:space="preserve">Reason 5B1d. on p.9 was cited as being unreasonably vague and problematic.  A decision was made to seek further information in order to better understand why Administrative Procedure No. A8.926 needs to be revised.</w:t>
            </w:r>
          </w:p>
        </w:tc>
        <w:tc>
          <w:tcPr/>
          <w:p w:rsidR="00000000" w:rsidDel="00000000" w:rsidP="00000000" w:rsidRDefault="00000000" w:rsidRPr="00000000" w14:paraId="00000057">
            <w:pPr>
              <w:pageBreakBefore w:val="0"/>
              <w:rPr>
                <w:sz w:val="22"/>
                <w:szCs w:val="22"/>
              </w:rPr>
            </w:pPr>
            <w:r w:rsidDel="00000000" w:rsidR="00000000" w:rsidRPr="00000000">
              <w:rPr>
                <w:sz w:val="22"/>
                <w:szCs w:val="22"/>
                <w:rtl w:val="0"/>
              </w:rPr>
              <w:t xml:space="preserve">D. Sanders agreed to contact Yaa-Yin Fong, Director ORS, to ask that someone from her office address CoRGE to explain the need for the proposed revisions. </w:t>
            </w:r>
          </w:p>
        </w:tc>
      </w:tr>
      <w:tr>
        <w:trPr>
          <w:cantSplit w:val="0"/>
          <w:trHeight w:val="580" w:hRule="atLeast"/>
          <w:tblHeader w:val="0"/>
        </w:trPr>
        <w:tc>
          <w:tcPr/>
          <w:p w:rsidR="00000000" w:rsidDel="00000000" w:rsidP="00000000" w:rsidRDefault="00000000" w:rsidRPr="00000000" w14:paraId="00000058">
            <w:pPr>
              <w:pageBreakBefore w:val="0"/>
              <w:rPr>
                <w:b w:val="1"/>
                <w:sz w:val="20"/>
                <w:szCs w:val="20"/>
              </w:rPr>
            </w:pPr>
            <w:r w:rsidDel="00000000" w:rsidR="00000000" w:rsidRPr="00000000">
              <w:rPr>
                <w:b w:val="1"/>
                <w:sz w:val="20"/>
                <w:szCs w:val="20"/>
                <w:rtl w:val="0"/>
              </w:rPr>
              <w:t xml:space="preserve">GSO STUDENT BILL OF RIGHTS</w:t>
            </w:r>
          </w:p>
        </w:tc>
        <w:tc>
          <w:tcPr/>
          <w:p w:rsidR="00000000" w:rsidDel="00000000" w:rsidP="00000000" w:rsidRDefault="00000000" w:rsidRPr="00000000" w14:paraId="0000005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 Pakele provided CoRGE with 2 documents currently in GSO’s possession: (1) GSO’s latest draft of their proposed Bill of Rights,  and (2) CoRGE’s edited response.   There was discussion about when these 2 documents were written, and whether anything has changed since the arrival of the new UHM Chancellor.</w:t>
            </w:r>
          </w:p>
        </w:tc>
        <w:tc>
          <w:tcPr/>
          <w:p w:rsidR="00000000" w:rsidDel="00000000" w:rsidP="00000000" w:rsidRDefault="00000000" w:rsidRPr="00000000" w14:paraId="0000005A">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 Herrick will post both documents on the CoRGE web site.  R. Bontekoe will attend the upcoming GSO meeting on 26 Sept, 5:30pm in the Campus Center, to learn more about the current GSO view of the need for a Student Bill of Rights.</w:t>
            </w:r>
          </w:p>
        </w:tc>
      </w:tr>
      <w:tr>
        <w:trPr>
          <w:cantSplit w:val="0"/>
          <w:trHeight w:val="580" w:hRule="atLeast"/>
          <w:tblHeader w:val="0"/>
        </w:trPr>
        <w:tc>
          <w:tcPr/>
          <w:p w:rsidR="00000000" w:rsidDel="00000000" w:rsidP="00000000" w:rsidRDefault="00000000" w:rsidRPr="00000000" w14:paraId="0000005B">
            <w:pPr>
              <w:pageBreakBefore w:val="0"/>
              <w:rPr>
                <w:b w:val="1"/>
                <w:sz w:val="20"/>
                <w:szCs w:val="20"/>
              </w:rPr>
            </w:pPr>
            <w:r w:rsidDel="00000000" w:rsidR="00000000" w:rsidRPr="00000000">
              <w:rPr>
                <w:b w:val="1"/>
                <w:sz w:val="20"/>
                <w:szCs w:val="20"/>
                <w:rtl w:val="0"/>
              </w:rPr>
              <w:t xml:space="preserve">COMMITTEE ON HUMAN SUBJECTS</w:t>
            </w:r>
          </w:p>
        </w:tc>
        <w:tc>
          <w:tcPr/>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has been asked to “review requirements on research that may appear to involve human subject but do not”, but the reasons leading up to the assignment of this charge to CoRGE were not well understood.  </w:t>
            </w:r>
          </w:p>
        </w:tc>
        <w:tc>
          <w:tcPr/>
          <w:p w:rsidR="00000000" w:rsidDel="00000000" w:rsidP="00000000" w:rsidRDefault="00000000" w:rsidRPr="00000000" w14:paraId="0000005D">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Bontekoe will obtain additional information from the SEC as to why this issue was assigned to CoRGE.</w:t>
            </w:r>
          </w:p>
        </w:tc>
      </w:tr>
      <w:tr>
        <w:trPr>
          <w:cantSplit w:val="0"/>
          <w:trHeight w:val="580" w:hRule="atLeast"/>
          <w:tblHeader w:val="0"/>
        </w:trPr>
        <w:tc>
          <w:tcPr/>
          <w:p w:rsidR="00000000" w:rsidDel="00000000" w:rsidP="00000000" w:rsidRDefault="00000000" w:rsidRPr="00000000" w14:paraId="0000005E">
            <w:pPr>
              <w:pageBreakBefore w:val="0"/>
              <w:rPr>
                <w:b w:val="1"/>
                <w:sz w:val="20"/>
                <w:szCs w:val="20"/>
              </w:rPr>
            </w:pPr>
            <w:r w:rsidDel="00000000" w:rsidR="00000000" w:rsidRPr="00000000">
              <w:rPr>
                <w:b w:val="1"/>
                <w:sz w:val="20"/>
                <w:szCs w:val="20"/>
                <w:rtl w:val="0"/>
              </w:rPr>
              <w:t xml:space="preserve">UNIVERSITY AFFILIATED RESEARH CENTERS</w:t>
            </w:r>
          </w:p>
        </w:tc>
        <w:tc>
          <w:tcPr/>
          <w:p w:rsidR="00000000" w:rsidDel="00000000" w:rsidP="00000000" w:rsidRDefault="00000000" w:rsidRPr="00000000" w14:paraId="0000005F">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noted that this issue has been on our committee agenda for nearly 8 years !  The SEC recently met with Mike Vitale, the Executive Director of the UH Applied Research Laboratory to better understand the current status of this ARC.  K. Herrick then informed us that she had posted a document prepared by Mike Vitale which summarizes the current status of the UH ARL..    </w:t>
            </w:r>
          </w:p>
        </w:tc>
        <w:tc>
          <w:tcPr/>
          <w:p w:rsidR="00000000" w:rsidDel="00000000" w:rsidP="00000000" w:rsidRDefault="00000000" w:rsidRPr="00000000" w14:paraId="00000060">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to decide if a subcommittee is needed to review issues such as “faculty oversight of classified research” that may (or might) be conducted in the future within the ARL.</w:t>
            </w:r>
          </w:p>
        </w:tc>
      </w:tr>
      <w:tr>
        <w:trPr>
          <w:cantSplit w:val="0"/>
          <w:trHeight w:val="580" w:hRule="atLeast"/>
          <w:tblHeader w:val="0"/>
        </w:trPr>
        <w:tc>
          <w:tcPr/>
          <w:p w:rsidR="00000000" w:rsidDel="00000000" w:rsidP="00000000" w:rsidRDefault="00000000" w:rsidRPr="00000000" w14:paraId="00000061">
            <w:pPr>
              <w:pageBreakBefore w:val="0"/>
              <w:rPr>
                <w:b w:val="1"/>
                <w:sz w:val="20"/>
                <w:szCs w:val="20"/>
              </w:rPr>
            </w:pPr>
            <w:r w:rsidDel="00000000" w:rsidR="00000000" w:rsidRPr="00000000">
              <w:rPr>
                <w:b w:val="1"/>
                <w:sz w:val="20"/>
                <w:szCs w:val="20"/>
                <w:rtl w:val="0"/>
              </w:rPr>
              <w:t xml:space="preserve">QUALITY OF GRADUATE PROGRAMS</w:t>
            </w:r>
          </w:p>
        </w:tc>
        <w:tc>
          <w:tcPr/>
          <w:p w:rsidR="00000000" w:rsidDel="00000000" w:rsidP="00000000" w:rsidRDefault="00000000" w:rsidRPr="00000000" w14:paraId="0000006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CoRGE has been asked in the past by the Dean of Grad Division to assist Grad Council in assessing the quality of graduate programs at UHM.   It is not clear if this relationship will continue following the eventual appointment of a new Graduate Dean.  </w:t>
            </w:r>
          </w:p>
        </w:tc>
        <w:tc>
          <w:tcPr/>
          <w:p w:rsidR="00000000" w:rsidDel="00000000" w:rsidP="00000000" w:rsidRDefault="00000000" w:rsidRPr="00000000" w14:paraId="0000006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 Chain and D. Sanders appointed to serve as CoRGE representatives on Grad Council.</w:t>
            </w:r>
          </w:p>
        </w:tc>
      </w:tr>
      <w:tr>
        <w:trPr>
          <w:cantSplit w:val="0"/>
          <w:trHeight w:val="580" w:hRule="atLeast"/>
          <w:tblHeader w:val="0"/>
        </w:trPr>
        <w:tc>
          <w:tcPr/>
          <w:p w:rsidR="00000000" w:rsidDel="00000000" w:rsidP="00000000" w:rsidRDefault="00000000" w:rsidRPr="00000000" w14:paraId="00000064">
            <w:pPr>
              <w:pageBreakBefore w:val="0"/>
              <w:rPr>
                <w:b w:val="1"/>
                <w:sz w:val="20"/>
                <w:szCs w:val="20"/>
              </w:rPr>
            </w:pPr>
            <w:r w:rsidDel="00000000" w:rsidR="00000000" w:rsidRPr="00000000">
              <w:rPr>
                <w:b w:val="1"/>
                <w:sz w:val="20"/>
                <w:szCs w:val="20"/>
                <w:rtl w:val="0"/>
              </w:rPr>
              <w:t xml:space="preserve">CoRGE RESOURCES</w:t>
            </w:r>
          </w:p>
        </w:tc>
        <w:tc>
          <w:tcPr/>
          <w:p w:rsidR="00000000" w:rsidDel="00000000" w:rsidP="00000000" w:rsidRDefault="00000000" w:rsidRPr="00000000" w14:paraId="0000006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 Bontekoe informed CoRGE about the availability of the Senate admin staff, especially Kristin Herrick, and the CoRGE web site </w:t>
            </w:r>
          </w:p>
          <w:p w:rsidR="00000000" w:rsidDel="00000000" w:rsidP="00000000" w:rsidRDefault="00000000" w:rsidRPr="00000000" w14:paraId="0000006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ff"/>
                <w:sz w:val="22"/>
                <w:szCs w:val="22"/>
                <w:u w:val="none"/>
                <w:shd w:fill="auto" w:val="clear"/>
                <w:vertAlign w:val="baseline"/>
                <w:rtl w:val="0"/>
              </w:rPr>
              <w:t xml:space="preserve">http://www.hawaii.edu/uhmfs/committee/standing/corge.html</w:t>
            </w:r>
            <w:r w:rsidDel="00000000" w:rsidR="00000000" w:rsidRPr="00000000">
              <w:rPr>
                <w:rtl w:val="0"/>
              </w:rPr>
            </w:r>
          </w:p>
        </w:tc>
        <w:tc>
          <w:tcPr/>
          <w:p w:rsidR="00000000" w:rsidDel="00000000" w:rsidP="00000000" w:rsidRDefault="00000000" w:rsidRPr="00000000" w14:paraId="00000067">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Sanders agreed to use the CoRGE MS-word template for future minutes.</w:t>
            </w:r>
          </w:p>
        </w:tc>
      </w:tr>
      <w:tr>
        <w:trPr>
          <w:cantSplit w:val="0"/>
          <w:trHeight w:val="580" w:hRule="atLeast"/>
          <w:tblHeader w:val="0"/>
        </w:trPr>
        <w:tc>
          <w:tcPr/>
          <w:p w:rsidR="00000000" w:rsidDel="00000000" w:rsidP="00000000" w:rsidRDefault="00000000" w:rsidRPr="00000000" w14:paraId="00000068">
            <w:pPr>
              <w:pageBreakBefore w:val="0"/>
              <w:rPr>
                <w:b w:val="1"/>
                <w:sz w:val="20"/>
                <w:szCs w:val="20"/>
              </w:rPr>
            </w:pPr>
            <w:r w:rsidDel="00000000" w:rsidR="00000000" w:rsidRPr="00000000">
              <w:rPr>
                <w:b w:val="1"/>
                <w:sz w:val="20"/>
                <w:szCs w:val="20"/>
                <w:rtl w:val="0"/>
              </w:rPr>
              <w:t xml:space="preserve">ADJOURNMENT</w:t>
            </w:r>
          </w:p>
          <w:p w:rsidR="00000000" w:rsidDel="00000000" w:rsidP="00000000" w:rsidRDefault="00000000" w:rsidRPr="00000000" w14:paraId="00000069">
            <w:pPr>
              <w:pageBreakBefore w:val="0"/>
              <w:rPr>
                <w:sz w:val="20"/>
                <w:szCs w:val="20"/>
              </w:rPr>
            </w:pPr>
            <w:r w:rsidDel="00000000" w:rsidR="00000000" w:rsidRPr="00000000">
              <w:rPr>
                <w:rtl w:val="0"/>
              </w:rPr>
            </w:r>
          </w:p>
        </w:tc>
        <w:tc>
          <w:tcPr/>
          <w:p w:rsidR="00000000" w:rsidDel="00000000" w:rsidP="00000000" w:rsidRDefault="00000000" w:rsidRPr="00000000" w14:paraId="0000006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 Sanders adjourned the meeting at 12:30pm</w:t>
            </w:r>
          </w:p>
        </w:tc>
        <w:tc>
          <w:tcPr/>
          <w:p w:rsidR="00000000" w:rsidDel="00000000" w:rsidP="00000000" w:rsidRDefault="00000000" w:rsidRPr="00000000" w14:paraId="0000006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C">
      <w:pPr>
        <w:pageBreakBefore w:val="0"/>
        <w:rPr>
          <w:sz w:val="22"/>
          <w:szCs w:val="22"/>
        </w:rPr>
      </w:pPr>
      <w:r w:rsidDel="00000000" w:rsidR="00000000" w:rsidRPr="00000000">
        <w:rPr>
          <w:sz w:val="22"/>
          <w:szCs w:val="22"/>
          <w:rtl w:val="0"/>
        </w:rPr>
        <w:br w:type="textWrapping"/>
      </w:r>
    </w:p>
    <w:p w:rsidR="00000000" w:rsidDel="00000000" w:rsidP="00000000" w:rsidRDefault="00000000" w:rsidRPr="00000000" w14:paraId="0000006D">
      <w:pPr>
        <w:pageBreakBefore w:val="0"/>
        <w:rPr>
          <w:sz w:val="22"/>
          <w:szCs w:val="22"/>
        </w:rPr>
      </w:pPr>
      <w:r w:rsidDel="00000000" w:rsidR="00000000" w:rsidRPr="00000000">
        <w:rPr>
          <w:sz w:val="22"/>
          <w:szCs w:val="22"/>
          <w:rtl w:val="0"/>
        </w:rPr>
        <w:t xml:space="preserve">Respectfully submitted by </w:t>
      </w:r>
      <w:r w:rsidDel="00000000" w:rsidR="00000000" w:rsidRPr="00000000">
        <w:rPr>
          <w:color w:val="000000"/>
          <w:sz w:val="22"/>
          <w:szCs w:val="22"/>
          <w:highlight w:val="yellow"/>
          <w:rtl w:val="0"/>
        </w:rPr>
        <w:t xml:space="preserve">Dave Sanders.</w:t>
      </w:r>
      <w:r w:rsidDel="00000000" w:rsidR="00000000" w:rsidRPr="00000000">
        <w:rPr>
          <w:rtl w:val="0"/>
        </w:rPr>
      </w:r>
    </w:p>
    <w:p w:rsidR="00000000" w:rsidDel="00000000" w:rsidP="00000000" w:rsidRDefault="00000000" w:rsidRPr="00000000" w14:paraId="0000006E">
      <w:pPr>
        <w:pageBreakBefore w:val="0"/>
        <w:rPr>
          <w:sz w:val="22"/>
          <w:szCs w:val="22"/>
        </w:rPr>
      </w:pPr>
      <w:r w:rsidDel="00000000" w:rsidR="00000000" w:rsidRPr="00000000">
        <w:rPr>
          <w:sz w:val="22"/>
          <w:szCs w:val="22"/>
          <w:rtl w:val="0"/>
        </w:rPr>
        <w:t xml:space="preserve">Approved on 02 October, 2013 with 11 votes in favor of approval and 0 against.</w:t>
      </w:r>
    </w:p>
    <w:p w:rsidR="00000000" w:rsidDel="00000000" w:rsidP="00000000" w:rsidRDefault="00000000" w:rsidRPr="00000000" w14:paraId="0000006F">
      <w:pPr>
        <w:pageBreakBefore w:val="0"/>
        <w:ind w:left="720" w:firstLine="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r>
    </w:p>
    <w:sectPr>
      <w:headerReference r:id="rId6" w:type="default"/>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74">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E-Mail:</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Website:</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An Equal Opportunity/Affirmative Action Institution</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504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504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
              <a:graphic>
                <a:graphicData uri="http://schemas.microsoft.com/office/word/2010/wordprocessingShape">
                  <wps:wsp>
                    <wps:cNvSpPr/>
                    <wps:cNvPr id="2" name="Shape 2"/>
                    <wps:spPr>
                      <a:xfrm>
                        <a:off x="3154298" y="3437100"/>
                        <a:ext cx="4383405" cy="685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r>
                          <w:r w:rsidDel="00000000" w:rsidR="00000000" w:rsidRPr="00000000">
                            <w:rPr>
                              <w:rFonts w:ascii="Times New Roman" w:cs="Times New Roman" w:eastAsia="Times New Roman" w:hAnsi="Times New Roman"/>
                              <w:b w:val="1"/>
                              <w:i w:val="0"/>
                              <w:smallCaps w:val="1"/>
                              <w:strike w:val="0"/>
                              <w:color w:val="000000"/>
                              <w:sz w:val="26"/>
                              <w:vertAlign w:val="baseline"/>
                            </w:rPr>
                            <w:t xml:space="preserve">Committee on Research and Graduate Education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101600</wp:posOffset>
              </wp:positionV>
              <wp:extent cx="4381500" cy="685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4381500" cy="685800"/>
                      </a:xfrm>
                      <a:prstGeom prst="rect"/>
                      <a:ln/>
                    </pic:spPr>
                  </pic:pic>
                </a:graphicData>
              </a:graphic>
            </wp:anchor>
          </w:drawing>
        </mc:Fallback>
      </mc:AlternateConten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ageBreakBefore w:val="0"/>
      <w:spacing w:after="100" w:before="100" w:lineRule="auto"/>
    </w:pPr>
    <w:rPr>
      <w:b w:val="1"/>
      <w:sz w:val="48"/>
      <w:szCs w:val="48"/>
    </w:rPr>
  </w:style>
  <w:style w:type="paragraph" w:styleId="Heading2">
    <w:name w:val="heading 2"/>
    <w:basedOn w:val="Normal"/>
    <w:next w:val="Normal"/>
    <w:pPr>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