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23 October,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340"/>
        <w:gridCol w:w="450"/>
        <w:gridCol w:w="2340"/>
        <w:gridCol w:w="450"/>
        <w:gridCol w:w="1440"/>
        <w:gridCol w:w="810"/>
        <w:tblGridChange w:id="0">
          <w:tblGrid>
            <w:gridCol w:w="2538"/>
            <w:gridCol w:w="360"/>
            <w:gridCol w:w="2340"/>
            <w:gridCol w:w="450"/>
            <w:gridCol w:w="2340"/>
            <w:gridCol w:w="450"/>
            <w:gridCol w:w="144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 </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PARK, Hyoung-June </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KIM, Albert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A </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RAYNER, Martin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LENZ, Petra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SANDERS, David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DYE, Timothy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THOMAS, Florence </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11am and asked those present to sign in.  It was noted that 10 members were present, and that no visitors were in attendance.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committee welcomed Daniel Harris-McCoy as a new member (representing LLL). </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Ron reminded the committee that it was the Chair’s responsibility to send timely reminders of the next meeting.  </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agreed that this would be done in the future.  It was then noted that the next meeting (30 Oct) would be held in Sak D302.</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Minutes of the 2 Oct, 2013 meeting were not available.  Ron then reminded the committee that 2 action items (20.12 and 26.13) had been dealt with on 2 Oct, and therefore are removed from our agenda (see below).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Vice-Chair agreed to present the minutes of the 2 Oct meeting for review at our 30 Oct meeting.</w:t>
            </w:r>
          </w:p>
        </w:tc>
      </w:tr>
      <w:tr>
        <w:trPr>
          <w:cantSplit w:val="0"/>
          <w:trHeight w:val="9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REVIEW OF MFS ISSUES ASSIGNED TO CoRGE</w:t>
            </w:r>
          </w:p>
        </w:tc>
        <w:tc>
          <w:tcPr/>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color w:val="000000"/>
                <w:sz w:val="22"/>
                <w:szCs w:val="22"/>
                <w:rtl w:val="0"/>
              </w:rPr>
              <w:t xml:space="preserve">The Chair asked that the committee review each of the 10 action items currently listed on the CoRGE web page. </w:t>
            </w:r>
          </w:p>
        </w:tc>
        <w:tc>
          <w:tcPr/>
          <w:p w:rsidR="00000000" w:rsidDel="00000000" w:rsidP="00000000" w:rsidRDefault="00000000" w:rsidRPr="00000000" w14:paraId="0000004F">
            <w:pPr>
              <w:pageBreakBefore w:val="0"/>
              <w:spacing w:after="2.4" w:before="2.4" w:lineRule="auto"/>
              <w:rPr>
                <w:sz w:val="22"/>
                <w:szCs w:val="22"/>
              </w:rPr>
            </w:pPr>
            <w:r w:rsidDel="00000000" w:rsidR="00000000" w:rsidRPr="00000000">
              <w:rPr>
                <w:sz w:val="22"/>
                <w:szCs w:val="22"/>
                <w:rtl w:val="0"/>
              </w:rPr>
              <w:t xml:space="preserve"> </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51">
            <w:pPr>
              <w:pageBreakBefore w:val="0"/>
              <w:rPr>
                <w:color w:val="000000"/>
                <w:sz w:val="22"/>
                <w:szCs w:val="22"/>
              </w:rPr>
            </w:pPr>
            <w:r w:rsidDel="00000000" w:rsidR="00000000" w:rsidRPr="00000000">
              <w:rPr>
                <w:color w:val="000000"/>
                <w:sz w:val="22"/>
                <w:szCs w:val="22"/>
                <w:rtl w:val="0"/>
              </w:rPr>
              <w:t xml:space="preserve">The committee reaffirmed its previous consensus opinion that there was a problem with one key paragraph in this new Administrative Policy Proposal, and noted that the Chair had not yet contacted the Director of ORS.</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Chair agreed to invite the ORS Director, Yaa-Yin Fong to attend the 30 Oct meeting of CORGE</w:t>
            </w:r>
          </w:p>
        </w:tc>
      </w:tr>
      <w:tr>
        <w:trPr>
          <w:cantSplit w:val="0"/>
          <w:trHeight w:val="4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#8.14  DEGREE PROPOSAL – PHD IN ED. TECH.</w:t>
            </w:r>
          </w:p>
        </w:tc>
        <w:tc>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CoRGE reviewed the 32pp. document proposing a “New*” Academic Program, and noted that the Executive Summary begins with “*The proposal is to rename an existing program”, suggesting that there may be some uncertainty as to whether this is really a “name change” or a “new program”.  </w:t>
            </w:r>
          </w:p>
        </w:tc>
        <w:tc>
          <w:tcPr/>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CoRGE agreed to establish a subcommittee (Davidson-Chair, Lenz, Harris-McCoy) to determine how to proceed.  Ellen Hoffman (Chair, Dept. of Ed. Tech.) may be contacted for further clarification.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noted the 57pp. document submitted on 10 Jan, 2013, by the Dept. of Mechanical Engineering</w:t>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“Davidson subcommittee” will investigate and make a recommendation on how to proceed.</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revisited this issue in light of the new Dean search and the current relationship of Grad Council to CoRGE.  </w:t>
            </w:r>
          </w:p>
        </w:tc>
        <w:tc>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that it would be prudent to wait for further information from Grad Council, before trying to determine its own role in assessing the quality of graduate programs.  </w:t>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noted that this would be a very important issue going forward, including the possibility that CoRGE might revert to its previous role/name CoR, with a separate FSC to be named CoGE</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that it would be prudent to wait for the hire of the  new Grad Dean before making a final recommendation.  </w:t>
            </w:r>
          </w:p>
        </w:tc>
      </w:tr>
      <w:tr>
        <w:trPr>
          <w:cantSplit w:val="0"/>
          <w:trHeight w:val="580" w:hRule="atLeast"/>
          <w:tblHeader w:val="0"/>
        </w:trPr>
        <w:tc>
          <w:tcPr/>
          <w:p w:rsidR="00000000" w:rsidDel="00000000" w:rsidP="00000000" w:rsidRDefault="00000000" w:rsidRPr="00000000" w14:paraId="0000005F">
            <w:pPr>
              <w:pageBreakBefore w:val="0"/>
              <w:rPr>
                <w:b w:val="1"/>
                <w:sz w:val="20"/>
                <w:szCs w:val="20"/>
              </w:rPr>
            </w:pPr>
            <w:r w:rsidDel="00000000" w:rsidR="00000000" w:rsidRPr="00000000">
              <w:rPr>
                <w:b w:val="1"/>
                <w:sz w:val="20"/>
                <w:szCs w:val="20"/>
                <w:rtl w:val="0"/>
              </w:rPr>
              <w:t xml:space="preserve">#20.12 GRADUATION/DISSERTATION DEFENSE TIMING</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noted that this issue was resolved/removed during the 02 Oct meeting.</w:t>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ask that this issue be removed from the CoRGE calendar.</w:t>
            </w:r>
          </w:p>
        </w:tc>
      </w:tr>
      <w:tr>
        <w:trPr>
          <w:cantSplit w:val="0"/>
          <w:trHeight w:val="58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Ron reported that he attended a special meeting of the  GSO executive committee on 10 Oct, and found that it was GSO’s intent to produce a redraft of the “Grad Student Bill of Rights”</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to revisit this issue once a new version of the Student Bill of Rights has been received from GSO. </w:t>
            </w:r>
          </w:p>
        </w:tc>
      </w:tr>
      <w:tr>
        <w:trPr>
          <w:cantSplit w:val="0"/>
          <w:trHeight w:val="58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b w:val="1"/>
                <w:sz w:val="20"/>
                <w:szCs w:val="20"/>
                <w:rtl w:val="0"/>
              </w:rPr>
              <w:t xml:space="preserve">#26.13 COMMITTEE ON HUMAN SUBJECTS</w:t>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noted that this issue was resolved/removed during the 02 Oct meeting.  </w:t>
            </w:r>
          </w:p>
        </w:tc>
        <w:tc>
          <w:tcPr/>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ask that this issue be removed from the CoRGE calendar.</w:t>
            </w:r>
          </w:p>
        </w:tc>
      </w:tr>
      <w:tr>
        <w:trPr>
          <w:cantSplit w:val="0"/>
          <w:trHeight w:val="580" w:hRule="atLeast"/>
          <w:tblHeader w:val="0"/>
        </w:trPr>
        <w:tc>
          <w:tcPr/>
          <w:p w:rsidR="00000000" w:rsidDel="00000000" w:rsidP="00000000" w:rsidRDefault="00000000" w:rsidRPr="00000000" w14:paraId="00000068">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revisited the posted document prepared by Mike Vitale which summarizes the current status of the UH ARC., and agreed that the critical issue going forward would be to clarify the role of the “oversight board”.    </w:t>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agreed to contact Adm.  Mike Vitale, and to ask him to attend a future meeting of CoRGE. to clarify the operation of the ARC.</w:t>
            </w:r>
          </w:p>
        </w:tc>
      </w:tr>
      <w:tr>
        <w:trPr>
          <w:cantSplit w:val="0"/>
          <w:trHeight w:val="580" w:hRule="atLeast"/>
          <w:tblHeader w:val="0"/>
        </w:trPr>
        <w:tc>
          <w:tcPr/>
          <w:p w:rsidR="00000000" w:rsidDel="00000000" w:rsidP="00000000" w:rsidRDefault="00000000" w:rsidRPr="00000000" w14:paraId="0000006B">
            <w:pPr>
              <w:pageBreakBefore w:val="0"/>
              <w:rPr>
                <w:b w:val="1"/>
                <w:sz w:val="20"/>
                <w:szCs w:val="20"/>
              </w:rPr>
            </w:pPr>
            <w:r w:rsidDel="00000000" w:rsidR="00000000" w:rsidRPr="00000000">
              <w:rPr>
                <w:b w:val="1"/>
                <w:sz w:val="20"/>
                <w:szCs w:val="20"/>
                <w:rtl w:val="0"/>
              </w:rPr>
              <w:t xml:space="preserve">#34.13 PROFESSIONAL MASTERS IN ENVIRONMENTAL MANAGEMENT </w:t>
            </w:r>
          </w:p>
        </w:tc>
        <w:tc>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Ron reported that both M. Yamada and P. Cooper agreed that this “name change” request should be handled as a “New Program Approval”.  CoRGE agrees with this assessment. </w:t>
            </w:r>
          </w:p>
        </w:tc>
        <w:tc>
          <w:tcPr/>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 item #34.13 will be removed, and we anticipate seeing this item again, but renamed as a “New Program Approval”. </w:t>
            </w:r>
          </w:p>
        </w:tc>
      </w:tr>
      <w:tr>
        <w:trPr>
          <w:cantSplit w:val="0"/>
          <w:trHeight w:val="580" w:hRule="atLeast"/>
          <w:tblHeader w:val="0"/>
        </w:trPr>
        <w:tc>
          <w:tcPr/>
          <w:p w:rsidR="00000000" w:rsidDel="00000000" w:rsidP="00000000" w:rsidRDefault="00000000" w:rsidRPr="00000000" w14:paraId="0000006E">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F">
            <w:pPr>
              <w:pageBreakBefore w:val="0"/>
              <w:rPr>
                <w:sz w:val="20"/>
                <w:szCs w:val="20"/>
              </w:rPr>
            </w:pPr>
            <w:r w:rsidDel="00000000" w:rsidR="00000000" w:rsidRPr="00000000">
              <w:rPr>
                <w:rtl w:val="0"/>
              </w:rPr>
            </w:r>
          </w:p>
        </w:tc>
        <w:tc>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Sanders adjourned the meeting at 12:05pm</w:t>
            </w:r>
          </w:p>
        </w:tc>
        <w:tc>
          <w:tcPr/>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73">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Approved on 30 October, 2013 with 14 votes in favor of approval and 0 against.</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