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30 October,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Sakamaki Hall D302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340"/>
        <w:gridCol w:w="450"/>
        <w:gridCol w:w="2340"/>
        <w:gridCol w:w="360"/>
        <w:gridCol w:w="1530"/>
        <w:gridCol w:w="810"/>
        <w:tblGridChange w:id="0">
          <w:tblGrid>
            <w:gridCol w:w="2538"/>
            <w:gridCol w:w="360"/>
            <w:gridCol w:w="2340"/>
            <w:gridCol w:w="450"/>
            <w:gridCol w:w="2340"/>
            <w:gridCol w:w="360"/>
            <w:gridCol w:w="153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Yaa-Yin Fong</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11:00 </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PARK, Hyoung-June </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KIM, Albert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RAYNER, Martin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LENZ, Petra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SANDERS, David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DYE, Timothy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THOMAS, Florence </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11:05am and asked those present to sign in.  It was noted that 14 members and one visitor, Yaa-Yin Fong (Director ORS), were in attendance.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committee welcomed Yaa-Yin Fong to our meeting.</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The Chair reminded the committee that our next meeting would be in HH309, on the same date as the November Faculty Senate meeting (20 Nov).</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23 Oct meeting were approved (14 Yes, 0 No).   Minutes of the 2 Oct, 2013 meeting were still not available.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forward the 23 Oct, 2013, minutes to Kristin.</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color w:val="000000"/>
                <w:sz w:val="22"/>
                <w:szCs w:val="22"/>
                <w:rtl w:val="0"/>
              </w:rPr>
              <w:t xml:space="preserve">Yaa-Yin Fong addressed the committee and presented background on the requested changes to the document.  The committee found this information very helpful and thanked the Director of ORS for her willingness to meet with us on such short notice.  </w:t>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 3-person subcommittee (the Chair + Mike and Flo) agreed to draft a resolution for discussion at our next meeting on 20 Nov.</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#8.14  DEGREE PROPOSAL – PHD IN ED. TECH.</w:t>
            </w:r>
          </w:p>
        </w:tc>
        <w:tc>
          <w:tcPr/>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The subcommittee recommended approval of this program (see 2pp. report).  </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subcommittee will draft a resolution for approval (via email) in time for presentation at the 20 Nov, 2013 meeting of the Fac Sen.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subcommittee reported that this proposal needed to be revised and clarified before further review by CoRGE (see 2pp. report).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contact the VCAA to determine if this proposal was reviewed by his office.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revisited this issue in light of the new Dean search and the current relationship of Grad Council to CoRGE.  </w:t>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that it would be prudent to wait for further information from Grad Council  before trying to determine its own role in assessing the quality of graduate programs.  </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again noted that this would be a very important issue going forward, including the possibility that CoRGE might revert to its previous role/name – Committee on Research (CoR), along with the formation of a separate committee to be named the Committee on Graduate Education (CoGE). </w:t>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agreed to speak with Pat Cooper about this issue and report back at our 20 Nov, meeting.  </w:t>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#20.12 GRADUATION/DISSERTATION DEFENSE TIMING</w:t>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again noted that this issue was resolved/removed during the 02 Oct meeting.</w:t>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ask Kristin to remove this issue from the CoRGE calendar.</w:t>
            </w:r>
          </w:p>
        </w:tc>
      </w:tr>
      <w:tr>
        <w:trPr>
          <w:cantSplit w:val="0"/>
          <w:trHeight w:val="580" w:hRule="atLeast"/>
          <w:tblHeader w:val="0"/>
        </w:trPr>
        <w:tc>
          <w:tcPr/>
          <w:p w:rsidR="00000000" w:rsidDel="00000000" w:rsidP="00000000" w:rsidRDefault="00000000" w:rsidRPr="00000000" w14:paraId="0000005F">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Ho’omano reported that GSO is producing a new draft of the “Grad Student Bill of Rights”</w:t>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Ho’omano will forward the new Bill of Rights to CoRGE prior to our 20 Nov, meeting. </w:t>
            </w:r>
          </w:p>
        </w:tc>
      </w:tr>
      <w:tr>
        <w:trPr>
          <w:cantSplit w:val="0"/>
          <w:trHeight w:val="58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b w:val="1"/>
                <w:sz w:val="20"/>
                <w:szCs w:val="20"/>
                <w:rtl w:val="0"/>
              </w:rPr>
              <w:t xml:space="preserve">#26.13 COMMITTEE ON HUMAN SUBJECTS</w:t>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again noted that this issue was resolved/removed during the 02 Oct, meeting.  </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ask Kristin to remove this issue from the CoRGE calendar.</w:t>
            </w:r>
          </w:p>
        </w:tc>
      </w:tr>
      <w:tr>
        <w:trPr>
          <w:cantSplit w:val="0"/>
          <w:trHeight w:val="58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reported that he had not yet been able to contact Adm. Mike Vitale for clarification on the role of the “oversight board”.    </w:t>
            </w:r>
          </w:p>
        </w:tc>
        <w:tc>
          <w:tcPr/>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again attempt to contact Adm. Mike Vitale to ask him to clarify the operation of the ARC and the role of the oversight board.</w:t>
            </w:r>
          </w:p>
        </w:tc>
      </w:tr>
      <w:tr>
        <w:trPr>
          <w:cantSplit w:val="0"/>
          <w:trHeight w:val="580" w:hRule="atLeast"/>
          <w:tblHeader w:val="0"/>
        </w:trPr>
        <w:tc>
          <w:tcPr/>
          <w:p w:rsidR="00000000" w:rsidDel="00000000" w:rsidP="00000000" w:rsidRDefault="00000000" w:rsidRPr="00000000" w14:paraId="00000068">
            <w:pPr>
              <w:pageBreakBefore w:val="0"/>
              <w:rPr>
                <w:b w:val="1"/>
                <w:sz w:val="20"/>
                <w:szCs w:val="20"/>
              </w:rPr>
            </w:pPr>
            <w:r w:rsidDel="00000000" w:rsidR="00000000" w:rsidRPr="00000000">
              <w:rPr>
                <w:b w:val="1"/>
                <w:sz w:val="20"/>
                <w:szCs w:val="20"/>
                <w:rtl w:val="0"/>
              </w:rPr>
              <w:t xml:space="preserve">#34.13 PROFESSIONAL MASTERS IN ENVIRONMENTAL MANAGEMENT </w:t>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Ron confirmed that both M. Yamada and P. Cooper were of the opinion that this “name change” request should be handled as a “New Program Approval”.  CoRGE agrees with this assessment. </w:t>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contact Peter Garrod to inform him of our finding. </w:t>
            </w:r>
          </w:p>
        </w:tc>
      </w:tr>
      <w:tr>
        <w:trPr>
          <w:cantSplit w:val="0"/>
          <w:trHeight w:val="580" w:hRule="atLeast"/>
          <w:tblHeader w:val="0"/>
        </w:trPr>
        <w:tc>
          <w:tcPr/>
          <w:p w:rsidR="00000000" w:rsidDel="00000000" w:rsidP="00000000" w:rsidRDefault="00000000" w:rsidRPr="00000000" w14:paraId="0000006B">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C">
            <w:pPr>
              <w:pageBreakBefore w:val="0"/>
              <w:rPr>
                <w:sz w:val="20"/>
                <w:szCs w:val="20"/>
              </w:rPr>
            </w:pPr>
            <w:r w:rsidDel="00000000" w:rsidR="00000000" w:rsidRPr="00000000">
              <w:rPr>
                <w:rtl w:val="0"/>
              </w:rPr>
            </w:r>
          </w:p>
        </w:tc>
        <w:tc>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12:20pm</w:t>
            </w:r>
          </w:p>
        </w:tc>
        <w:tc>
          <w:tcPr/>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Respectfully submitted by Dave Sanders.</w:t>
      </w:r>
    </w:p>
    <w:p w:rsidR="00000000" w:rsidDel="00000000" w:rsidP="00000000" w:rsidRDefault="00000000" w:rsidRPr="00000000" w14:paraId="00000071">
      <w:pPr>
        <w:pageBreakBefore w:val="0"/>
        <w:rPr>
          <w:sz w:val="22"/>
          <w:szCs w:val="22"/>
        </w:rPr>
      </w:pPr>
      <w:r w:rsidDel="00000000" w:rsidR="00000000" w:rsidRPr="00000000">
        <w:rPr>
          <w:sz w:val="22"/>
          <w:szCs w:val="22"/>
          <w:rtl w:val="0"/>
        </w:rPr>
        <w:t xml:space="preserve">Approved on 20 November, 2013 with 15 votes in favor of approval and 0 against.</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