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20 November,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360"/>
        <w:gridCol w:w="2340"/>
        <w:gridCol w:w="450"/>
        <w:gridCol w:w="2340"/>
        <w:gridCol w:w="360"/>
        <w:gridCol w:w="1530"/>
        <w:gridCol w:w="810"/>
        <w:tblGridChange w:id="0">
          <w:tblGrid>
            <w:gridCol w:w="2538"/>
            <w:gridCol w:w="360"/>
            <w:gridCol w:w="2340"/>
            <w:gridCol w:w="450"/>
            <w:gridCol w:w="2340"/>
            <w:gridCol w:w="360"/>
            <w:gridCol w:w="153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PARK, Hyoung-June </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KIM, Albert </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A </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RAYNER, Martin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LENZ, Petra </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SANDERS, David </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DYE, Timothy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THOMAS, Florence </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E </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3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The Chair called the meeting to order at 11:05am and asked those present to sign in.  It was noted that 15 members were in attendance.</w:t>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The meeting was moved from HH309 to HH208 to take advantage of the availability of a projector.</w:t>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The Chair reminded the committee that our next meeting would be on 27 Nov in HH309, and that the VCAA will be present during the first part of our 27 Nov meeting.</w:t>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The minutes of the 30 Oct meeting were approved (15 Yes, 0 No).   Minutes of the 02 Oct, 2013 meeting were still not available.   </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forward the 30 Oct, 2013, minutes to Kristin, and will try to produce minutes or the 02 Oct meeting.</w:t>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#6.14  PI/PROGRAM DIRECTOR CHANGE </w:t>
            </w:r>
          </w:p>
        </w:tc>
        <w:tc>
          <w:tcPr/>
          <w:p w:rsidR="00000000" w:rsidDel="00000000" w:rsidP="00000000" w:rsidRDefault="00000000" w:rsidRPr="00000000" w14:paraId="0000004E">
            <w:pPr>
              <w:pageBreakBefore w:val="0"/>
              <w:rPr>
                <w:color w:val="000000"/>
                <w:sz w:val="22"/>
                <w:szCs w:val="22"/>
              </w:rPr>
            </w:pPr>
            <w:r w:rsidDel="00000000" w:rsidR="00000000" w:rsidRPr="00000000">
              <w:rPr>
                <w:color w:val="000000"/>
                <w:sz w:val="22"/>
                <w:szCs w:val="22"/>
                <w:rtl w:val="0"/>
              </w:rPr>
              <w:t xml:space="preserve">The Chair summarized the brief report of the 3-person subcommittee:  it was recommended that paragraph 5.(b)1.d be removed and that the words “or department chairperson” be removed from section 5. (b) 2.</w:t>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The Chair will inform the ORS Director of our recommendations and ask that a revised document be sent to CoRGE for final review.</w:t>
            </w:r>
          </w:p>
        </w:tc>
      </w:tr>
      <w:tr>
        <w:trPr>
          <w:cantSplit w:val="0"/>
          <w:trHeight w:val="4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#8.14  DEGREE PROPOSAL – PHD IN ED. TECH.</w:t>
            </w:r>
          </w:p>
        </w:tc>
        <w:tc>
          <w:tcPr/>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The Chair reported that the resolution drafted by our subcommittee was approved by CoRGE via email.  </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The Chair will present the resolution at today’s meeting of the Faculty Senate </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agreed that the subcommittee will not make a final recommendation until after our meeting with the VCAA on 27 Nov.  </w:t>
            </w:r>
          </w:p>
        </w:tc>
        <w:tc>
          <w:tcPr/>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VCAA has agreed to accept our invitation to attend our 27 Nov meeting. </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reported that this issue would be revisited following the appointment of the new Dean of Graduate Education. </w:t>
            </w:r>
          </w:p>
        </w:tc>
        <w:tc>
          <w:tcPr/>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reported that both he and Ron Bontekoe raised the possibility of a new relationship between the Faculty Senate and Graduate Council during the most recent meeting of Grad Council.  </w:t>
            </w:r>
          </w:p>
        </w:tc>
        <w:tc>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agreed to revisit this issue following the hire of the new Dean of Graduate Education.  </w:t>
            </w:r>
          </w:p>
        </w:tc>
      </w:tr>
      <w:tr>
        <w:trPr>
          <w:cantSplit w:val="0"/>
          <w:trHeight w:val="580" w:hRule="atLeast"/>
          <w:tblHeader w:val="0"/>
        </w:trPr>
        <w:tc>
          <w:tcPr/>
          <w:p w:rsidR="00000000" w:rsidDel="00000000" w:rsidP="00000000" w:rsidRDefault="00000000" w:rsidRPr="00000000" w14:paraId="0000005C">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discussed the new GSO draft (8pp) of the “Graduate Student Bill of Rights”, and noted that it was more of a “manifesto” than a “statement”.  </w:t>
            </w:r>
          </w:p>
        </w:tc>
        <w:tc>
          <w:tcPr/>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subcommittee will be formed to make recommendations on the new draft BoR. </w:t>
            </w:r>
          </w:p>
        </w:tc>
      </w:tr>
      <w:tr>
        <w:trPr>
          <w:cantSplit w:val="0"/>
          <w:trHeight w:val="580" w:hRule="atLeast"/>
          <w:tblHeader w:val="0"/>
        </w:trPr>
        <w:tc>
          <w:tcPr/>
          <w:p w:rsidR="00000000" w:rsidDel="00000000" w:rsidP="00000000" w:rsidRDefault="00000000" w:rsidRPr="00000000" w14:paraId="0000005F">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reported that he still had not yet been able to contact Adm. Mike Vitale for clarification on the role of the “oversight board”.    </w:t>
            </w:r>
          </w:p>
        </w:tc>
        <w:tc>
          <w:tcPr/>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again attempt to contact Adm. Mike Vitale to ask him to clarify the operation of the ARC and the role of the oversight board.</w:t>
            </w:r>
          </w:p>
        </w:tc>
      </w:tr>
      <w:tr>
        <w:trPr>
          <w:cantSplit w:val="0"/>
          <w:trHeight w:val="580" w:hRule="atLeast"/>
          <w:tblHeader w:val="0"/>
        </w:trPr>
        <w:tc>
          <w:tcPr/>
          <w:p w:rsidR="00000000" w:rsidDel="00000000" w:rsidP="00000000" w:rsidRDefault="00000000" w:rsidRPr="00000000" w14:paraId="00000062">
            <w:pPr>
              <w:pageBreakBefore w:val="0"/>
              <w:rPr>
                <w:b w:val="1"/>
                <w:sz w:val="20"/>
                <w:szCs w:val="20"/>
              </w:rPr>
            </w:pPr>
            <w:r w:rsidDel="00000000" w:rsidR="00000000" w:rsidRPr="00000000">
              <w:rPr>
                <w:b w:val="1"/>
                <w:sz w:val="20"/>
                <w:szCs w:val="20"/>
                <w:rtl w:val="0"/>
              </w:rPr>
              <w:t xml:space="preserve">#34.13 PROFESSIONAL MASTERS IN ENVIRONMENTAL MANAGEMENT </w:t>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Ron again confirmed that both M. Yamada and P. Cooper were of the opinion that this “name change” request should be handled as a “New Program Approval”.  CoRGE agrees with this assessment. </w:t>
            </w:r>
          </w:p>
        </w:tc>
        <w:tc>
          <w:tcPr/>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promises to email Peter Garrod to inform him of our finding. </w:t>
            </w:r>
          </w:p>
        </w:tc>
      </w:tr>
      <w:tr>
        <w:trPr>
          <w:cantSplit w:val="0"/>
          <w:trHeight w:val="580" w:hRule="atLeast"/>
          <w:tblHeader w:val="0"/>
        </w:trPr>
        <w:tc>
          <w:tcPr/>
          <w:p w:rsidR="00000000" w:rsidDel="00000000" w:rsidP="00000000" w:rsidRDefault="00000000" w:rsidRPr="00000000" w14:paraId="00000065">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6">
            <w:pPr>
              <w:pageBreakBefore w:val="0"/>
              <w:rPr>
                <w:sz w:val="20"/>
                <w:szCs w:val="20"/>
              </w:rPr>
            </w:pPr>
            <w:r w:rsidDel="00000000" w:rsidR="00000000" w:rsidRPr="00000000">
              <w:rPr>
                <w:rtl w:val="0"/>
              </w:rPr>
            </w:r>
          </w:p>
        </w:tc>
        <w:tc>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adjourned the meeting promptly at 12 Noon.</w:t>
            </w:r>
          </w:p>
        </w:tc>
        <w:tc>
          <w:tcPr/>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6A">
      <w:pPr>
        <w:pageBreakBefore w:val="0"/>
        <w:rPr>
          <w:sz w:val="22"/>
          <w:szCs w:val="22"/>
        </w:rPr>
      </w:pPr>
      <w:r w:rsidDel="00000000" w:rsidR="00000000" w:rsidRPr="00000000">
        <w:rPr>
          <w:sz w:val="22"/>
          <w:szCs w:val="22"/>
          <w:rtl w:val="0"/>
        </w:rPr>
        <w:t xml:space="preserve">Respectfully submitted by Dave Sanders.</w:t>
      </w:r>
    </w:p>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Approved on 27 November, 2013 with 9 votes in favor of approval and 0 against.</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1">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