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27 November,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309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Reed Dazenbrock</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11:00am</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PARK, Hyoung-June </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Wendy Pearson</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KIM, Albert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RAYNER, Martin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LENZ, Petra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SANDERS, David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DYE, Timothy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THOMAS, Florence </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Liz Davidson called the meeting to order at 11:00am and asked those present to sign in.  It was noted that 11 members were in attendance as well as the GSO and FEC representatives to the committee.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 </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CoRGE will continue with twice monthly meetings in the weeks following each meeting of the Faculty Senate.  Our next CoRGE meeting date was not finalized as some members were absent and others are not sure about spring schedules.  We will ask Kristin to do a Doodle poll. Members from JABSON and other off-campus locations expressed preferences for first-thing in the morning or late afternoon meeting times to minimize parking and travel issues.</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will ask Kristin to conduct a Doodle poll for meeting times for next semester.  Based on the poll, the Chair will select the meeting time, which will be posted on the CoRGE web page.  Kristin will be asked to reserve HH208 for as many meeting times as possible. </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rFonts w:ascii="Calibri" w:cs="Calibri" w:eastAsia="Calibri" w:hAnsi="Calibri"/>
                <w:b w:val="1"/>
                <w:i w:val="1"/>
                <w:color w:val="4f81bd"/>
                <w:sz w:val="22"/>
                <w:szCs w:val="22"/>
              </w:rPr>
            </w:pPr>
            <w:r w:rsidDel="00000000" w:rsidR="00000000" w:rsidRPr="00000000">
              <w:rPr>
                <w:sz w:val="22"/>
                <w:szCs w:val="22"/>
                <w:rtl w:val="0"/>
              </w:rPr>
              <w:t xml:space="preserve">The minutes of the 30 Oct, 2013, meeting were approved (11 Yes, 0 No).   Minutes of the 02 Oct, 2013 meeting were approved (11 Yes, 0 NO).</w:t>
            </w:r>
            <w:r w:rsidDel="00000000" w:rsidR="00000000" w:rsidRPr="00000000">
              <w:rPr>
                <w:rtl w:val="0"/>
              </w:rPr>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acting Chair will forward the approved 02 Oct, 2013, and 30 Oct, 2013, minutes to Kristin for posting. </w:t>
            </w:r>
          </w:p>
        </w:tc>
      </w:tr>
      <w:tr>
        <w:trPr>
          <w:cantSplit w:val="0"/>
          <w:trHeight w:val="80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APPROVAL OF SEMESTER REPORT</w:t>
            </w:r>
          </w:p>
        </w:tc>
        <w:tc>
          <w:tcPr/>
          <w:p w:rsidR="00000000" w:rsidDel="00000000" w:rsidP="00000000" w:rsidRDefault="00000000" w:rsidRPr="00000000" w14:paraId="0000004E">
            <w:pPr>
              <w:pageBreakBefore w:val="0"/>
              <w:spacing w:after="2.4" w:before="2.4" w:lineRule="auto"/>
              <w:rPr>
                <w:rFonts w:ascii="Calibri" w:cs="Calibri" w:eastAsia="Calibri" w:hAnsi="Calibri"/>
                <w:b w:val="1"/>
                <w:i w:val="1"/>
                <w:color w:val="4f81bd"/>
                <w:sz w:val="22"/>
                <w:szCs w:val="22"/>
              </w:rPr>
            </w:pPr>
            <w:r w:rsidDel="00000000" w:rsidR="00000000" w:rsidRPr="00000000">
              <w:rPr>
                <w:sz w:val="22"/>
                <w:szCs w:val="22"/>
                <w:rtl w:val="0"/>
              </w:rPr>
              <w:t xml:space="preserve">The committee reviewed and approved (11 Yes, 0 No) the draft report of committee activities for Fall, 2013.</w:t>
            </w: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to forward the approved report to Kristin for posting and to the FEC as needed.</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51">
            <w:pPr>
              <w:pageBreakBefore w:val="0"/>
              <w:rPr>
                <w:color w:val="000000"/>
                <w:sz w:val="22"/>
                <w:szCs w:val="22"/>
              </w:rPr>
            </w:pPr>
            <w:r w:rsidDel="00000000" w:rsidR="00000000" w:rsidRPr="00000000">
              <w:rPr>
                <w:sz w:val="22"/>
                <w:szCs w:val="22"/>
                <w:rtl w:val="0"/>
              </w:rPr>
              <w:t xml:space="preserve">The Chair has sent an email to the ORS Director informing her of our recommendations, and to request that a revised document be sent to CoRGE for final review.</w:t>
            </w:r>
            <w:r w:rsidDel="00000000" w:rsidR="00000000" w:rsidRPr="00000000">
              <w:rPr>
                <w:rtl w:val="0"/>
              </w:rPr>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Awaiting response from ORS Director.</w:t>
            </w:r>
          </w:p>
        </w:tc>
      </w:tr>
      <w:tr>
        <w:trPr>
          <w:cantSplit w:val="0"/>
          <w:trHeight w:val="4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#8.14  DEGREE PROPOSAL – PHD IN ED. TECH.</w:t>
            </w:r>
          </w:p>
        </w:tc>
        <w:tc>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Our resolution was presented to the Faculty Senate at the 20 Nov meeting, and was approved (56 Yes 3 No).  </w:t>
            </w:r>
          </w:p>
        </w:tc>
        <w:tc>
          <w:tcPr/>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The Chair will ask Kristin to remove this issue from our list.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invited the VCAA to attend the meeting.  The committee discussed with the VCAA and OVCAA staff member Wendy Pearson the process of reviewing new proposals and CoRGE’s role in that process.  It was noted that the ‘permission to plan’ is a major control point for the OVCAA, and that proposals submitted are generally forwarded to the MFS and other reviewing bodies for comment and advice without OVCAA comments or formal review. The OVCAA then works with the program’s sponsors to evaluate feedback from various bodies such as CoRGE and to coordinate responses in an iterative process as needed. If CoRGE requires additional information or has questions before a resolution can be formulated, the committee Chair should contact the program sponsor directly. CoRGE may need to review revised proposals as the program sponsors (with OVCAA guidance) respond to feedback. The final outcome for CoRGE to complete a new program “issue” will be a resolution to MFS to support or not support the program.  It was noted that the timing for processing a new program proposal can vary greatly and depends on the program sponsor’s time to respond, but that review &amp; advisory bodies such as CoRGE should act in a timely manner.  Finally, it was noted that CoRGE’s evaluation and recommendation may address any aspects of the proposal, but for areas under administrative responsibilities (such as resources) comments are likely to be in the form of questions or suggestions.     </w:t>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subcommittee will provide written feedback to REIS. </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has agreed to revisit this issue following the hire of the new Dean of Graduate Education.  </w:t>
            </w:r>
          </w:p>
        </w:tc>
        <w:tc>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has agreed to revisit this issue following the hire of the new Dean of Graduate Education.   </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F">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The subcommittee composed of Florence THOMAS, Barbara DEBARYSHE, William (BJ) CHAIN, Wendy KAWABATA, and Ho’omano PAKELE have been communicating via email but have not completed their assessment of the last document submitted to CoRGE by the GSO.  All committee members discussed the next steps and process.  The committee advised the sub-committee that their task is to bring a proposed plan of action to CoRGE (targeting the January meetings) and not to negotiate directly with GSO or to attempt to revise/write an alternative bill of rights document.  The committee agreed that the subcommittee should consider the following: (i) advise the GSO to revert to the shorter 1-page version with specific items listed as rights; (ii) advise the GSO to include language that acknowledges some rights will be subject to reasonable accommodation/limitation due to resource limitations (such as office space); (iii) advise the students on specific rights that might be added or deleted; and (iv) remove detailed language that is over-reaching and aspirational or that elaborates other policies (such as the code of conduct) </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subcommittee will bring to CoRGE in January its recommendations for GSO for the full CoRGE committee’s review and comment.</w:t>
            </w:r>
          </w:p>
        </w:tc>
      </w:tr>
      <w:tr>
        <w:trPr>
          <w:cantSplit w:val="0"/>
          <w:trHeight w:val="580" w:hRule="atLeast"/>
          <w:tblHeader w:val="0"/>
        </w:trPr>
        <w:tc>
          <w:tcPr/>
          <w:p w:rsidR="00000000" w:rsidDel="00000000" w:rsidP="00000000" w:rsidRDefault="00000000" w:rsidRPr="00000000" w14:paraId="00000063">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attempting to contact VAdm. Mike Vitale to ask him to clarify the operation of the ARC and the role of the oversight board.</w:t>
            </w:r>
          </w:p>
        </w:tc>
        <w:tc>
          <w:tcPr/>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6">
            <w:pPr>
              <w:pageBreakBefore w:val="0"/>
              <w:rPr>
                <w:b w:val="1"/>
                <w:sz w:val="20"/>
                <w:szCs w:val="20"/>
              </w:rPr>
            </w:pPr>
            <w:r w:rsidDel="00000000" w:rsidR="00000000" w:rsidRPr="00000000">
              <w:rPr>
                <w:b w:val="1"/>
                <w:sz w:val="20"/>
                <w:szCs w:val="20"/>
                <w:rtl w:val="0"/>
              </w:rPr>
              <w:t xml:space="preserve">#34.13 PROFESSIONAL MASTERS IN ENVIRONMENTAL MANAGEMENT </w:t>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has sent email to Peter Garrod, informing him of our finding that this issue should be viewed as a “program change”.   </w:t>
            </w:r>
          </w:p>
        </w:tc>
        <w:tc>
          <w:tcPr/>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9">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A">
            <w:pPr>
              <w:pageBreakBefore w:val="0"/>
              <w:rPr>
                <w:sz w:val="20"/>
                <w:szCs w:val="20"/>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12 Noon.</w:t>
            </w:r>
          </w:p>
        </w:tc>
        <w:tc>
          <w:tcPr/>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E">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sz w:val="22"/>
          <w:szCs w:val="22"/>
          <w:rtl w:val="0"/>
        </w:rPr>
        <w:t xml:space="preserve">Approved on 23 January, 2014 with 9 votes in favor of approval and 0 against.</w:t>
      </w:r>
    </w:p>
    <w:p w:rsidR="00000000" w:rsidDel="00000000" w:rsidP="00000000" w:rsidRDefault="00000000" w:rsidRPr="00000000" w14:paraId="00000070">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