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01 May,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BENGSTON, Rodney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3:05pm and asked those present to sign in. It was noted that 12 voting members were in attendance + the SEC representative.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Ho’omano Pakele informed the Chair that he has resigned from CoRGE</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The next meeting of CoRGE will be in Fall 2014.</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April 24, 2014, meeting were approved (12 Yes, 0 No).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forward the approved minutes to Kristin for posting.</w:t>
            </w:r>
          </w:p>
        </w:tc>
      </w:tr>
      <w:tr>
        <w:trPr>
          <w:cantSplit w:val="0"/>
          <w:trHeight w:val="58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 tried to contact Anthony Kuh to resolve these issues, but so far no response.   </w:t>
            </w:r>
          </w:p>
        </w:tc>
        <w:tc>
          <w:tcPr/>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 will email Anthony to say the CoRGE is willing to review the revised proposal early in Fall 2014.  </w:t>
            </w:r>
          </w:p>
        </w:tc>
      </w:tr>
      <w:tr>
        <w:trPr>
          <w:cantSplit w:val="0"/>
          <w:trHeight w:val="58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graduate Dean.  </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this year.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Dean of Graduate Education.  Ron explained some of the benefits of eliminating the duplication of effort between CoRGE and Grad Council, by converting Grad Council into a permanent committee of the Faculty Senate with 2 co-chairs, one of whom would be the Grad Dean and the other a faculty senator.  CoRGE would then revert to CoR.   Given that the new Dean has not had the opportunity to meet with CoRGE, we have not had an in depth discussion of this issue or taken a position on it.   The broader issue of exactly what CoRGE’s responsibilities are with regard to graduate education still needs to be worked out, if CoRGE continues in its current form. </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new Dean is in place and Ron will meet with her to discuss the future of Grad Council and CoRGE.</w:t>
            </w:r>
          </w:p>
        </w:tc>
      </w:tr>
      <w:tr>
        <w:trPr>
          <w:cantSplit w:val="0"/>
          <w:trHeight w:val="58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There was no progress on the Bill of Rights.  The committee is waiting for responses from the GSO.</w:t>
            </w:r>
          </w:p>
          <w:p w:rsidR="00000000" w:rsidDel="00000000" w:rsidP="00000000" w:rsidRDefault="00000000" w:rsidRPr="00000000" w14:paraId="00000059">
            <w:pPr>
              <w:pageBreakBefore w:val="0"/>
              <w:rPr>
                <w:sz w:val="22"/>
                <w:szCs w:val="22"/>
              </w:rPr>
            </w:pP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will review the revised document when it is received.</w:t>
            </w:r>
          </w:p>
        </w:tc>
      </w:tr>
      <w:tr>
        <w:trPr>
          <w:cantSplit w:val="0"/>
          <w:trHeight w:val="580" w:hRule="atLeast"/>
          <w:tblHeader w:val="0"/>
        </w:trPr>
        <w:tc>
          <w:tcPr/>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580" w:hRule="atLeast"/>
          <w:tblHeader w:val="0"/>
        </w:trPr>
        <w:tc>
          <w:tcPr/>
          <w:p w:rsidR="00000000" w:rsidDel="00000000" w:rsidP="00000000" w:rsidRDefault="00000000" w:rsidRPr="00000000" w14:paraId="0000005E">
            <w:pPr>
              <w:pageBreakBefore w:val="0"/>
              <w:rPr>
                <w:b w:val="1"/>
                <w:sz w:val="20"/>
                <w:szCs w:val="20"/>
              </w:rPr>
            </w:pPr>
            <w:r w:rsidDel="00000000" w:rsidR="00000000" w:rsidRPr="00000000">
              <w:rPr>
                <w:b w:val="1"/>
                <w:sz w:val="20"/>
                <w:szCs w:val="20"/>
                <w:rtl w:val="0"/>
              </w:rPr>
              <w:t xml:space="preserve">OTHER BUSINESS</w:t>
            </w:r>
          </w:p>
          <w:p w:rsidR="00000000" w:rsidDel="00000000" w:rsidP="00000000" w:rsidRDefault="00000000" w:rsidRPr="00000000" w14:paraId="0000005F">
            <w:pPr>
              <w:pageBreakBefore w:val="0"/>
              <w:rPr>
                <w:b w:val="1"/>
                <w:sz w:val="20"/>
                <w:szCs w:val="20"/>
              </w:rPr>
            </w:pPr>
            <w:r w:rsidDel="00000000" w:rsidR="00000000" w:rsidRPr="00000000">
              <w:rPr>
                <w:sz w:val="22"/>
                <w:szCs w:val="22"/>
                <w:rtl w:val="0"/>
              </w:rPr>
              <w:t xml:space="preserve">Faculty Classifications and Appointments.</w:t>
            </w:r>
            <w:r w:rsidDel="00000000" w:rsidR="00000000" w:rsidRPr="00000000">
              <w:rPr>
                <w:rtl w:val="0"/>
              </w:rPr>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explained that CPM has alerted David Ericson that it is still willing to revisit this issue and would like CoRGE to collaborate.    </w:t>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recognizes that it is too late this academic year to take this issue on, and that it will likely resurface again during Fall 2014.   </w:t>
            </w:r>
          </w:p>
        </w:tc>
      </w:tr>
      <w:tr>
        <w:trPr>
          <w:cantSplit w:val="0"/>
          <w:trHeight w:val="58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3">
            <w:pPr>
              <w:pageBreakBefore w:val="0"/>
              <w:rPr>
                <w:sz w:val="20"/>
                <w:szCs w:val="20"/>
              </w:rPr>
            </w:pPr>
            <w:r w:rsidDel="00000000" w:rsidR="00000000" w:rsidRPr="00000000">
              <w:rPr>
                <w:rtl w:val="0"/>
              </w:rPr>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4pm.  </w:t>
            </w:r>
          </w:p>
        </w:tc>
        <w:tc>
          <w:tcPr/>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7">
      <w:pPr>
        <w:pageBreakBefore w:val="0"/>
        <w:rPr>
          <w:sz w:val="22"/>
          <w:szCs w:val="22"/>
        </w:rPr>
      </w:pPr>
      <w:r w:rsidDel="00000000" w:rsidR="00000000" w:rsidRPr="00000000">
        <w:rPr>
          <w:sz w:val="22"/>
          <w:szCs w:val="22"/>
          <w:rtl w:val="0"/>
        </w:rPr>
        <w:t xml:space="preserve">Respectfully submitted by Dave Sanders</w:t>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Approved on “Fall”, 2014 with xx votes in favor of approval and yy against.</w:t>
      </w:r>
    </w:p>
    <w:p w:rsidR="00000000" w:rsidDel="00000000" w:rsidP="00000000" w:rsidRDefault="00000000" w:rsidRPr="00000000" w14:paraId="00000069">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D">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