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December, 2015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w:t>
        <w:tab/>
        <w:tab/>
        <w:t xml:space="preserve">Manoa Faculty Senate</w:t>
      </w:r>
    </w:p>
    <w:p w:rsidR="00000000" w:rsidDel="00000000" w:rsidP="00000000" w:rsidRDefault="00000000" w:rsidRPr="00000000" w14:paraId="00000004">
      <w:pPr>
        <w:pageBreakBefore w:val="0"/>
        <w:rPr/>
      </w:pPr>
      <w:r w:rsidDel="00000000" w:rsidR="00000000" w:rsidRPr="00000000">
        <w:rPr>
          <w:rtl w:val="0"/>
        </w:rPr>
        <w:t xml:space="preserve">FROM:</w:t>
        <w:tab/>
        <w:t xml:space="preserve">David Sanders, Chair, Committee on Research (CoR)</w:t>
      </w:r>
    </w:p>
    <w:p w:rsidR="00000000" w:rsidDel="00000000" w:rsidP="00000000" w:rsidRDefault="00000000" w:rsidRPr="00000000" w14:paraId="00000005">
      <w:pPr>
        <w:pageBreakBefore w:val="0"/>
        <w:rPr/>
      </w:pPr>
      <w:r w:rsidDel="00000000" w:rsidR="00000000" w:rsidRPr="00000000">
        <w:rPr>
          <w:rtl w:val="0"/>
        </w:rPr>
        <w:t xml:space="preserve">SUBJECT:</w:t>
        <w:tab/>
        <w:t xml:space="preserve">Fall 2015 Report on CoR Activities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CoR scheduled 5 meetings this semester (11 Sep; 25 Sep; 28 Oct; 25 Nov; 02 Dec).  The Chair is Dave Sanders, the Secretary is Andrew Wertheimer, and Ashley Maynard serves as SEC liaison.  The 11 Sep., meeting was unofficial due to lack of a quorum.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establishment of CoR (formally CoRGE) was approved by the MFS in late Spring 2015, when it was agreed that MFS issues related to Graduate Education at UHM would henceforth be handled by the Manoa Graduate Council’s “Program Committee”, with the Chair of the Program Committee reporting to the MFS.    CoR currently has 9 UHM faculty members representing research programs at UHM, and one non-voting graduate student representative.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CoR continued dealing with 3 research issues this semester that were previously assigned to CoRGE by the SEC.  In addition, CoR has generated two new research issues.  Four holdover graduate education issues that now belong to Graduate Council were formally assigned to Graduate Council.  All issues are listed below (including comments), grouped by how CoR decided to deal with them.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u w:val="single"/>
        </w:rPr>
      </w:pPr>
      <w:r w:rsidDel="00000000" w:rsidR="00000000" w:rsidRPr="00000000">
        <w:rPr>
          <w:u w:val="single"/>
          <w:rtl w:val="0"/>
        </w:rPr>
        <w:t xml:space="preserve">Resolutions presented to MFS:</w:t>
      </w:r>
    </w:p>
    <w:p w:rsidR="00000000" w:rsidDel="00000000" w:rsidP="00000000" w:rsidRDefault="00000000" w:rsidRPr="00000000" w14:paraId="0000000F">
      <w:pPr>
        <w:pageBreakBefore w:val="0"/>
        <w:ind w:firstLine="720"/>
        <w:rPr/>
      </w:pPr>
      <w:r w:rsidDel="00000000" w:rsidR="00000000" w:rsidRPr="00000000">
        <w:rPr>
          <w:rtl w:val="0"/>
        </w:rPr>
        <w:t xml:space="preserve">Issue #1.16</w:t>
        <w:tab/>
        <w:t xml:space="preserve">CAB resolution of 5% system-wide withholding of RTRF was passed by MFS</w:t>
      </w:r>
    </w:p>
    <w:p w:rsidR="00000000" w:rsidDel="00000000" w:rsidP="00000000" w:rsidRDefault="00000000" w:rsidRPr="00000000" w14:paraId="00000010">
      <w:pPr>
        <w:pageBreakBefore w:val="0"/>
        <w:ind w:firstLine="720"/>
        <w:rPr/>
      </w:pPr>
      <w:r w:rsidDel="00000000" w:rsidR="00000000" w:rsidRPr="00000000">
        <w:rPr>
          <w:rtl w:val="0"/>
        </w:rPr>
        <w:t xml:space="preserve">Issue #2.16</w:t>
        <w:tab/>
        <w:t xml:space="preserve">Reorganization Proposal – Office of Research Compliance </w:t>
      </w:r>
    </w:p>
    <w:p w:rsidR="00000000" w:rsidDel="00000000" w:rsidP="00000000" w:rsidRDefault="00000000" w:rsidRPr="00000000" w14:paraId="00000011">
      <w:pPr>
        <w:pageBreakBefore w:val="0"/>
        <w:ind w:left="1440" w:firstLine="0"/>
        <w:rPr/>
      </w:pPr>
      <w:r w:rsidDel="00000000" w:rsidR="00000000" w:rsidRPr="00000000">
        <w:rPr>
          <w:rtl w:val="0"/>
        </w:rPr>
        <w:t xml:space="preserve">CoR endorsed the “DURC” proposal, which is still under study by CAB.</w:t>
      </w:r>
    </w:p>
    <w:p w:rsidR="00000000" w:rsidDel="00000000" w:rsidP="00000000" w:rsidRDefault="00000000" w:rsidRPr="00000000" w14:paraId="00000012">
      <w:pPr>
        <w:pageBreakBefore w:val="0"/>
        <w:ind w:left="1440" w:firstLine="0"/>
        <w:rPr/>
      </w:pPr>
      <w:r w:rsidDel="00000000" w:rsidR="00000000" w:rsidRPr="00000000">
        <w:rPr>
          <w:rtl w:val="0"/>
        </w:rPr>
      </w:r>
    </w:p>
    <w:p w:rsidR="00000000" w:rsidDel="00000000" w:rsidP="00000000" w:rsidRDefault="00000000" w:rsidRPr="00000000" w14:paraId="00000013">
      <w:pPr>
        <w:pageBreakBefore w:val="0"/>
        <w:rPr>
          <w:u w:val="single"/>
        </w:rPr>
      </w:pPr>
      <w:r w:rsidDel="00000000" w:rsidR="00000000" w:rsidRPr="00000000">
        <w:rPr>
          <w:u w:val="single"/>
          <w:rtl w:val="0"/>
        </w:rPr>
        <w:t xml:space="preserve">Issues that were reassigned to Graduate Council:</w:t>
      </w:r>
    </w:p>
    <w:p w:rsidR="00000000" w:rsidDel="00000000" w:rsidP="00000000" w:rsidRDefault="00000000" w:rsidRPr="00000000" w14:paraId="00000014">
      <w:pPr>
        <w:pageBreakBefore w:val="0"/>
        <w:rPr/>
      </w:pPr>
      <w:r w:rsidDel="00000000" w:rsidR="00000000" w:rsidRPr="00000000">
        <w:rPr>
          <w:rtl w:val="0"/>
        </w:rPr>
        <w:tab/>
        <w:t xml:space="preserve">Issue #3.15</w:t>
        <w:tab/>
        <w:t xml:space="preserve">ATP for a Masters in Environmental Management </w:t>
      </w:r>
    </w:p>
    <w:p w:rsidR="00000000" w:rsidDel="00000000" w:rsidP="00000000" w:rsidRDefault="00000000" w:rsidRPr="00000000" w14:paraId="00000015">
      <w:pPr>
        <w:pageBreakBefore w:val="0"/>
        <w:ind w:firstLine="720"/>
        <w:rPr/>
      </w:pPr>
      <w:r w:rsidDel="00000000" w:rsidR="00000000" w:rsidRPr="00000000">
        <w:rPr>
          <w:rtl w:val="0"/>
        </w:rPr>
        <w:t xml:space="preserve">Issue #6.15</w:t>
        <w:tab/>
        <w:t xml:space="preserve">Advanced Degree Institutional Learning Outcomes (ILO)  </w:t>
      </w:r>
    </w:p>
    <w:p w:rsidR="00000000" w:rsidDel="00000000" w:rsidP="00000000" w:rsidRDefault="00000000" w:rsidRPr="00000000" w14:paraId="00000016">
      <w:pPr>
        <w:pageBreakBefore w:val="0"/>
        <w:ind w:firstLine="720"/>
        <w:rPr/>
      </w:pPr>
      <w:r w:rsidDel="00000000" w:rsidR="00000000" w:rsidRPr="00000000">
        <w:rPr>
          <w:rtl w:val="0"/>
        </w:rPr>
        <w:t xml:space="preserve">Issue #19.12</w:t>
        <w:tab/>
        <w:t xml:space="preserve">Quality of Grad Programs </w:t>
      </w:r>
    </w:p>
    <w:p w:rsidR="00000000" w:rsidDel="00000000" w:rsidP="00000000" w:rsidRDefault="00000000" w:rsidRPr="00000000" w14:paraId="00000017">
      <w:pPr>
        <w:pageBreakBefore w:val="0"/>
        <w:rPr/>
      </w:pPr>
      <w:r w:rsidDel="00000000" w:rsidR="00000000" w:rsidRPr="00000000">
        <w:rPr>
          <w:rtl w:val="0"/>
        </w:rPr>
        <w:tab/>
        <w:t xml:space="preserve">Issue #21.12</w:t>
        <w:tab/>
        <w:t xml:space="preserve">GSO Student Bill of Rights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u w:val="single"/>
          <w:rtl w:val="0"/>
        </w:rPr>
        <w:t xml:space="preserve">Issues still under study</w:t>
      </w:r>
      <w:r w:rsidDel="00000000" w:rsidR="00000000" w:rsidRPr="00000000">
        <w:rPr>
          <w:rtl w:val="0"/>
        </w:rPr>
        <w:t xml:space="preserve">: </w:t>
        <w:tab/>
      </w:r>
    </w:p>
    <w:p w:rsidR="00000000" w:rsidDel="00000000" w:rsidP="00000000" w:rsidRDefault="00000000" w:rsidRPr="00000000" w14:paraId="0000001A">
      <w:pPr>
        <w:pageBreakBefore w:val="0"/>
        <w:ind w:firstLine="720"/>
        <w:rPr/>
      </w:pPr>
      <w:r w:rsidDel="00000000" w:rsidR="00000000" w:rsidRPr="00000000">
        <w:rPr>
          <w:rtl w:val="0"/>
        </w:rPr>
        <w:t xml:space="preserve">Issue #1.16 (NEW, related) </w:t>
        <w:tab/>
        <w:t xml:space="preserve">RTRF 5% withholding</w:t>
      </w:r>
    </w:p>
    <w:p w:rsidR="00000000" w:rsidDel="00000000" w:rsidP="00000000" w:rsidRDefault="00000000" w:rsidRPr="00000000" w14:paraId="0000001B">
      <w:pPr>
        <w:pageBreakBefore w:val="0"/>
        <w:rPr/>
      </w:pPr>
      <w:r w:rsidDel="00000000" w:rsidR="00000000" w:rsidRPr="00000000">
        <w:rPr>
          <w:rtl w:val="0"/>
        </w:rPr>
        <w:tab/>
        <w:tab/>
        <w:t xml:space="preserve">CoR will take up a related issue of “how RTRF is used throughout the UH System”.</w:t>
      </w:r>
    </w:p>
    <w:p w:rsidR="00000000" w:rsidDel="00000000" w:rsidP="00000000" w:rsidRDefault="00000000" w:rsidRPr="00000000" w14:paraId="0000001C">
      <w:pPr>
        <w:pageBreakBefore w:val="0"/>
        <w:rPr/>
      </w:pPr>
      <w:r w:rsidDel="00000000" w:rsidR="00000000" w:rsidRPr="00000000">
        <w:rPr>
          <w:rtl w:val="0"/>
        </w:rPr>
        <w:tab/>
        <w:t xml:space="preserve">Issue #6.16 Research Compliance Task Force (RCTF) Report</w:t>
      </w:r>
    </w:p>
    <w:p w:rsidR="00000000" w:rsidDel="00000000" w:rsidP="00000000" w:rsidRDefault="00000000" w:rsidRPr="00000000" w14:paraId="0000001D">
      <w:pPr>
        <w:pageBreakBefore w:val="0"/>
        <w:rPr/>
      </w:pPr>
      <w:r w:rsidDel="00000000" w:rsidR="00000000" w:rsidRPr="00000000">
        <w:rPr>
          <w:rtl w:val="0"/>
        </w:rPr>
        <w:t xml:space="preserve">                        CoR will investigate current wording concerning establishment/retention of ORUs</w:t>
      </w:r>
    </w:p>
    <w:p w:rsidR="00000000" w:rsidDel="00000000" w:rsidP="00000000" w:rsidRDefault="00000000" w:rsidRPr="00000000" w14:paraId="0000001E">
      <w:pPr>
        <w:pageBreakBefore w:val="0"/>
        <w:rPr/>
      </w:pPr>
      <w:r w:rsidDel="00000000" w:rsidR="00000000" w:rsidRPr="00000000">
        <w:rPr>
          <w:rtl w:val="0"/>
        </w:rPr>
        <w:tab/>
        <w:t xml:space="preserve">Issue #27.13</w:t>
        <w:tab/>
        <w:t xml:space="preserve">University Affiliated Research Centers</w:t>
      </w:r>
    </w:p>
    <w:p w:rsidR="00000000" w:rsidDel="00000000" w:rsidP="00000000" w:rsidRDefault="00000000" w:rsidRPr="00000000" w14:paraId="0000001F">
      <w:pPr>
        <w:pageBreakBefore w:val="0"/>
        <w:ind w:left="1440" w:firstLine="0"/>
        <w:rPr/>
      </w:pPr>
      <w:r w:rsidDel="00000000" w:rsidR="00000000" w:rsidRPr="00000000">
        <w:rPr>
          <w:rtl w:val="0"/>
        </w:rPr>
        <w:t xml:space="preserve">CoR received an update of current UARC activities, and reporting lines within the UH System.  However, the role of an “Oversight Committee” still needs clarification</w:t>
      </w:r>
    </w:p>
    <w:p w:rsidR="00000000" w:rsidDel="00000000" w:rsidP="00000000" w:rsidRDefault="00000000" w:rsidRPr="00000000" w14:paraId="00000020">
      <w:pPr>
        <w:pageBreakBefore w:val="0"/>
        <w:rPr>
          <w:u w:val="single"/>
        </w:rPr>
      </w:pPr>
      <w:r w:rsidDel="00000000" w:rsidR="00000000" w:rsidRPr="00000000">
        <w:rPr>
          <w:u w:val="single"/>
          <w:rtl w:val="0"/>
        </w:rPr>
        <w:t xml:space="preserve">New issue:</w:t>
      </w:r>
    </w:p>
    <w:p w:rsidR="00000000" w:rsidDel="00000000" w:rsidP="00000000" w:rsidRDefault="00000000" w:rsidRPr="00000000" w14:paraId="00000021">
      <w:pPr>
        <w:pageBreakBefore w:val="0"/>
        <w:rPr/>
      </w:pPr>
      <w:r w:rsidDel="00000000" w:rsidR="00000000" w:rsidRPr="00000000">
        <w:rPr>
          <w:rtl w:val="0"/>
        </w:rPr>
        <w:t xml:space="preserve">            Issue #TBA</w:t>
        <w:tab/>
        <w:t xml:space="preserve">Reorg. of Office of Technology Transfer and Economic Development (OTTED)</w:t>
      </w:r>
    </w:p>
    <w:p w:rsidR="00000000" w:rsidDel="00000000" w:rsidP="00000000" w:rsidRDefault="00000000" w:rsidRPr="00000000" w14:paraId="00000022">
      <w:pPr>
        <w:pageBreakBefore w:val="0"/>
        <w:ind w:left="1440" w:firstLine="0"/>
        <w:rPr/>
      </w:pPr>
      <w:r w:rsidDel="00000000" w:rsidR="00000000" w:rsidRPr="00000000">
        <w:rPr>
          <w:rtl w:val="0"/>
        </w:rPr>
        <w:t xml:space="preserve">Bill Richardson (Director, OTTED) has been invited to address the next meeting of the MFS (Jan, 2016)</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26">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Committee on Research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