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COMMITTEE ON Research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 5, 2016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Hawaii 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8.0" w:type="dxa"/>
        <w:jc w:val="left"/>
        <w:tblInd w:w="-34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280"/>
        <w:gridCol w:w="480"/>
        <w:gridCol w:w="2010"/>
        <w:gridCol w:w="360"/>
        <w:gridCol w:w="1875"/>
        <w:gridCol w:w="1275"/>
        <w:tblGridChange w:id="0">
          <w:tblGrid>
            <w:gridCol w:w="2358"/>
            <w:gridCol w:w="270"/>
            <w:gridCol w:w="2280"/>
            <w:gridCol w:w="480"/>
            <w:gridCol w:w="2010"/>
            <w:gridCol w:w="360"/>
            <w:gridCol w:w="1875"/>
            <w:gridCol w:w="127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Johnathon Deenik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James Richardson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BUTLER, Marguerite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 liaison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COFFMAN, Makena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Tao Yan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Patrick Cross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Iwakelii Tong, GSO &amp; Oceanography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Jeff Kuhn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Peter Mouginis-Mark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-39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0"/>
        <w:gridCol w:w="6780"/>
        <w:gridCol w:w="2070"/>
        <w:tblGridChange w:id="0">
          <w:tblGrid>
            <w:gridCol w:w="1920"/>
            <w:gridCol w:w="6780"/>
            <w:gridCol w:w="2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3:00 p.m.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Approval of minutes from September 7, 2016 COR meeting and Sept. 28 COR meeting.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Approved unanimously.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14.16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regarding use of RTF. Issues around 1) Transparency, 2) Creating Criteria. Less clear how RTRF are spent at system and college levels.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of passing a resolution.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Follow up with Michael Bruno regarding transparency of RTRF expenditures.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new AP 12.304 Procedures for Disclosing and Addressing Conflicts of Interest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this accessible (interpretable) to people who may be affected by the changes in COI? Needs to be simplified so investigators understand. Discussion regarding additional workload.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Agreement to take it as an issue.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VPA memo regarding reorganization of UHM/System offices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on reporting and accountability, what changes when capital improvement office/facilities is moved to system level? What is the research component? Issues around facilities/capital improvements and communication. How does the reorganization improve these services? Case should be made.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Agreement to take it as an issue.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Invite people from units being reorganized.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Invite someone from Jan Gouveia’s office.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Proposed next meeting for Wednesday October 12 or 26, 3pm, pending guest availability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adjourned 4:10 p.m.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 submitted by Makena Coffman.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December 7, 2016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votes in favor of approval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University of Hawai’i at Mānoa Faculty Senate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2500 Campus Road • Hawai’i Hall 208 • Honolulu, Hawai’i 96822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144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440" w:line="240" w:lineRule="auto"/>
      <w:ind w:left="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3886200</wp:posOffset>
              </wp:positionH>
              <wp:positionV relativeFrom="paragraph">
                <wp:posOffset>76200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9" y="3608551"/>
                        <a:ext cx="3011803" cy="3428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3886200</wp:posOffset>
              </wp:positionH>
              <wp:positionV relativeFrom="paragraph">
                <wp:posOffset>76200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firstLine="180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firstLine="324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firstLine="612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firstLine="75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firstLine="900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firstLine="1044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firstLine="118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