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ATHLETICS</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November 02, 2017</w:t>
      </w:r>
      <w:r w:rsidDel="00000000" w:rsidR="00000000" w:rsidRPr="00000000">
        <w:rPr>
          <w:b w:val="1"/>
          <w:sz w:val="22"/>
          <w:szCs w:val="22"/>
          <w:rtl w:val="0"/>
        </w:rPr>
        <w:tab/>
        <w:t xml:space="preserve">1:00 PM - 2:00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6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230"/>
        <w:tblGridChange w:id="0">
          <w:tblGrid>
            <w:gridCol w:w="2205"/>
            <w:gridCol w:w="435"/>
            <w:gridCol w:w="2550"/>
            <w:gridCol w:w="435"/>
            <w:gridCol w:w="1980"/>
            <w:gridCol w:w="435"/>
            <w:gridCol w:w="1890"/>
            <w:gridCol w:w="123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widowControl w:val="0"/>
              <w:rPr>
                <w:sz w:val="22"/>
                <w:szCs w:val="22"/>
              </w:rPr>
            </w:pPr>
            <w:r w:rsidDel="00000000" w:rsidR="00000000" w:rsidRPr="00000000">
              <w:rPr>
                <w:sz w:val="22"/>
                <w:szCs w:val="22"/>
                <w:rtl w:val="0"/>
              </w:rPr>
              <w:t xml:space="preserve">Louis Bousquet (Leave)</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David Ericson - FAR Rep</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Kelley Withy, via Polycom</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1:00 PM -</w:t>
            </w:r>
          </w:p>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2:00 PM</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George Tsai</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Claire Townsend Ing, Chair</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Steven Minaglia</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4">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Jamie Simpson Steele, Secretary</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B">
            <w:pPr>
              <w:pageBreakBefore w:val="0"/>
              <w:rPr>
                <w:sz w:val="22"/>
                <w:szCs w:val="22"/>
              </w:rPr>
            </w:pPr>
            <w:r w:rsidDel="00000000" w:rsidR="00000000" w:rsidRPr="00000000">
              <w:rPr>
                <w:rtl w:val="0"/>
              </w:rPr>
            </w:r>
          </w:p>
        </w:tc>
        <w:tc>
          <w:tcPr/>
          <w:p w:rsidR="00000000" w:rsidDel="00000000" w:rsidP="00000000" w:rsidRDefault="00000000" w:rsidRPr="00000000" w14:paraId="0000002C">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Vanessa Chong, Vice Chair</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Brian Powell - Liaison</w:t>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055"/>
        <w:gridCol w:w="3765"/>
        <w:tblGridChange w:id="0">
          <w:tblGrid>
            <w:gridCol w:w="1908"/>
            <w:gridCol w:w="5055"/>
            <w:gridCol w:w="3765"/>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Meeting was called to order by Chair Townsend Ing  at 1:05 PM</w:t>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7"/>
              </w:numPr>
              <w:spacing w:after="2.4" w:before="2.4" w:lineRule="auto"/>
              <w:ind w:left="720" w:hanging="360"/>
              <w:rPr>
                <w:sz w:val="22"/>
                <w:szCs w:val="22"/>
              </w:rPr>
            </w:pPr>
            <w:r w:rsidDel="00000000" w:rsidR="00000000" w:rsidRPr="00000000">
              <w:rPr>
                <w:sz w:val="22"/>
                <w:szCs w:val="22"/>
                <w:rtl w:val="0"/>
              </w:rPr>
              <w:t xml:space="preserve">The meeting minutes of COA on October 5, 2017 had been electronically circulated for review and comments.</w:t>
            </w:r>
          </w:p>
        </w:tc>
        <w:tc>
          <w:tcPr/>
          <w:p w:rsidR="00000000" w:rsidDel="00000000" w:rsidP="00000000" w:rsidRDefault="00000000" w:rsidRPr="00000000" w14:paraId="0000004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C. Townsend Ing moved to approve the October 5, 2017 minutes; seconded by V. Chong Minutes were unanimously approved. </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4">
            <w:pPr>
              <w:pageBreakBefore w:val="0"/>
              <w:numPr>
                <w:ilvl w:val="0"/>
                <w:numId w:val="9"/>
              </w:numPr>
              <w:spacing w:after="2.4" w:before="2.4" w:lineRule="auto"/>
              <w:ind w:left="720" w:hanging="360"/>
              <w:rPr>
                <w:color w:val="000000"/>
                <w:sz w:val="22"/>
                <w:szCs w:val="22"/>
                <w:u w:val="none"/>
              </w:rPr>
            </w:pPr>
            <w:r w:rsidDel="00000000" w:rsidR="00000000" w:rsidRPr="00000000">
              <w:rPr>
                <w:sz w:val="22"/>
                <w:szCs w:val="22"/>
                <w:rtl w:val="0"/>
              </w:rPr>
              <w:t xml:space="preserve">NA</w:t>
            </w:r>
            <w:r w:rsidDel="00000000" w:rsidR="00000000" w:rsidRPr="00000000">
              <w:rPr>
                <w:rtl w:val="0"/>
              </w:rPr>
            </w:r>
          </w:p>
        </w:tc>
        <w:tc>
          <w:tcPr/>
          <w:p w:rsidR="00000000" w:rsidDel="00000000" w:rsidP="00000000" w:rsidRDefault="00000000" w:rsidRPr="00000000" w14:paraId="00000045">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7">
            <w:pPr>
              <w:pageBreakBefore w:val="0"/>
              <w:numPr>
                <w:ilvl w:val="0"/>
                <w:numId w:val="8"/>
              </w:numPr>
              <w:ind w:left="720" w:hanging="360"/>
              <w:rPr>
                <w:color w:val="000000"/>
                <w:sz w:val="22"/>
                <w:szCs w:val="22"/>
                <w:u w:val="none"/>
              </w:rPr>
            </w:pPr>
            <w:r w:rsidDel="00000000" w:rsidR="00000000" w:rsidRPr="00000000">
              <w:rPr>
                <w:sz w:val="22"/>
                <w:szCs w:val="22"/>
                <w:rtl w:val="0"/>
              </w:rPr>
              <w:t xml:space="preserve">Faculty Mentoring Program: K. Withy reported background of the idea, discussion about allowable “mentoring” activities, and possible models from other universities. </w:t>
            </w:r>
          </w:p>
          <w:p w:rsidR="00000000" w:rsidDel="00000000" w:rsidP="00000000" w:rsidRDefault="00000000" w:rsidRPr="00000000" w14:paraId="00000048">
            <w:pPr>
              <w:pageBreakBefore w:val="0"/>
              <w:numPr>
                <w:ilvl w:val="0"/>
                <w:numId w:val="8"/>
              </w:numPr>
              <w:ind w:left="720" w:hanging="360"/>
              <w:rPr>
                <w:sz w:val="22"/>
                <w:szCs w:val="22"/>
                <w:u w:val="none"/>
              </w:rPr>
            </w:pPr>
            <w:r w:rsidDel="00000000" w:rsidR="00000000" w:rsidRPr="00000000">
              <w:rPr>
                <w:sz w:val="22"/>
                <w:szCs w:val="22"/>
                <w:rtl w:val="0"/>
              </w:rPr>
              <w:t xml:space="preserve">Gender Equity: J. Steele reached out to Lois Manin and did not receive a response. The report is not yet fully vetted and released. </w:t>
            </w:r>
          </w:p>
          <w:p w:rsidR="00000000" w:rsidDel="00000000" w:rsidP="00000000" w:rsidRDefault="00000000" w:rsidRPr="00000000" w14:paraId="00000049">
            <w:pPr>
              <w:pageBreakBefore w:val="0"/>
              <w:numPr>
                <w:ilvl w:val="0"/>
                <w:numId w:val="8"/>
              </w:numPr>
              <w:ind w:left="720" w:hanging="360"/>
              <w:rPr>
                <w:sz w:val="22"/>
                <w:szCs w:val="22"/>
                <w:u w:val="none"/>
              </w:rPr>
            </w:pPr>
            <w:r w:rsidDel="00000000" w:rsidR="00000000" w:rsidRPr="00000000">
              <w:rPr>
                <w:sz w:val="22"/>
                <w:szCs w:val="22"/>
                <w:rtl w:val="0"/>
              </w:rPr>
              <w:t xml:space="preserve">Life of a Student Athlete: tabled.</w:t>
            </w:r>
            <w:r w:rsidDel="00000000" w:rsidR="00000000" w:rsidRPr="00000000">
              <w:rPr>
                <w:rtl w:val="0"/>
              </w:rPr>
            </w:r>
          </w:p>
        </w:tc>
        <w:tc>
          <w:tcPr/>
          <w:p w:rsidR="00000000" w:rsidDel="00000000" w:rsidP="00000000" w:rsidRDefault="00000000" w:rsidRPr="00000000" w14:paraId="0000004A">
            <w:pPr>
              <w:pageBreakBefore w:val="0"/>
              <w:numPr>
                <w:ilvl w:val="0"/>
                <w:numId w:val="1"/>
              </w:numPr>
              <w:ind w:left="720" w:hanging="360"/>
              <w:rPr>
                <w:sz w:val="22"/>
                <w:szCs w:val="22"/>
                <w:u w:val="none"/>
              </w:rPr>
            </w:pPr>
            <w:r w:rsidDel="00000000" w:rsidR="00000000" w:rsidRPr="00000000">
              <w:rPr>
                <w:sz w:val="22"/>
                <w:szCs w:val="22"/>
                <w:rtl w:val="0"/>
              </w:rPr>
              <w:t xml:space="preserve">C. Townsend Ing will invite Amanda Paterson to answer questions about compliance  and allowable activities. K. Withy agreed to forward information about other university models. </w:t>
            </w:r>
          </w:p>
          <w:p w:rsidR="00000000" w:rsidDel="00000000" w:rsidP="00000000" w:rsidRDefault="00000000" w:rsidRPr="00000000" w14:paraId="0000004B">
            <w:pPr>
              <w:pageBreakBefore w:val="0"/>
              <w:numPr>
                <w:ilvl w:val="0"/>
                <w:numId w:val="1"/>
              </w:numPr>
              <w:ind w:left="720" w:hanging="360"/>
              <w:rPr>
                <w:sz w:val="22"/>
                <w:szCs w:val="22"/>
                <w:u w:val="none"/>
              </w:rPr>
            </w:pPr>
            <w:r w:rsidDel="00000000" w:rsidR="00000000" w:rsidRPr="00000000">
              <w:rPr>
                <w:sz w:val="22"/>
                <w:szCs w:val="22"/>
                <w:rtl w:val="0"/>
              </w:rPr>
              <w:t xml:space="preserve">V. Chong will follow up contacting Lois Manin and cc: D. Ericson, who will follow up in person. </w:t>
            </w:r>
          </w:p>
        </w:tc>
      </w:tr>
      <w:tr>
        <w:trPr>
          <w:cantSplit w:val="0"/>
          <w:trHeight w:val="46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4D">
            <w:pPr>
              <w:pageBreakBefore w:val="0"/>
              <w:numPr>
                <w:ilvl w:val="0"/>
                <w:numId w:val="5"/>
              </w:numPr>
              <w:ind w:left="720" w:hanging="360"/>
              <w:rPr>
                <w:sz w:val="22"/>
                <w:szCs w:val="22"/>
                <w:u w:val="none"/>
              </w:rPr>
            </w:pPr>
            <w:r w:rsidDel="00000000" w:rsidR="00000000" w:rsidRPr="00000000">
              <w:rPr>
                <w:sz w:val="22"/>
                <w:szCs w:val="22"/>
                <w:rtl w:val="0"/>
              </w:rPr>
              <w:t xml:space="preserve">University-Level Athletics Compliance Committee (UHMACC). One person on COA will serve a two-year term. </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numPr>
                <w:ilvl w:val="0"/>
                <w:numId w:val="5"/>
              </w:numPr>
              <w:ind w:left="720" w:hanging="360"/>
              <w:rPr>
                <w:sz w:val="22"/>
                <w:szCs w:val="22"/>
                <w:u w:val="none"/>
              </w:rPr>
            </w:pPr>
            <w:r w:rsidDel="00000000" w:rsidR="00000000" w:rsidRPr="00000000">
              <w:rPr>
                <w:sz w:val="22"/>
                <w:szCs w:val="22"/>
                <w:rtl w:val="0"/>
              </w:rPr>
              <w:t xml:space="preserve">Faculty education on travel requirements for student athletes. Discussion around student and faculty procedures with regard to student travel. The committee reviewed the process that is outlined in the student handbook.</w:t>
              <w:br w:type="textWrapping"/>
            </w:r>
          </w:p>
          <w:p w:rsidR="00000000" w:rsidDel="00000000" w:rsidP="00000000" w:rsidRDefault="00000000" w:rsidRPr="00000000" w14:paraId="00000050">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rtl w:val="0"/>
              </w:rPr>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numPr>
                <w:ilvl w:val="0"/>
                <w:numId w:val="5"/>
              </w:numPr>
              <w:ind w:left="720" w:hanging="360"/>
              <w:rPr>
                <w:sz w:val="22"/>
                <w:szCs w:val="22"/>
                <w:u w:val="none"/>
              </w:rPr>
            </w:pPr>
            <w:r w:rsidDel="00000000" w:rsidR="00000000" w:rsidRPr="00000000">
              <w:rPr>
                <w:sz w:val="22"/>
                <w:szCs w:val="22"/>
                <w:rtl w:val="0"/>
              </w:rPr>
              <w:t xml:space="preserve">Approve COA 2017-18 meeting schedule: December 7. </w:t>
            </w:r>
          </w:p>
          <w:p w:rsidR="00000000" w:rsidDel="00000000" w:rsidP="00000000" w:rsidRDefault="00000000" w:rsidRPr="00000000" w14:paraId="00000055">
            <w:pPr>
              <w:pageBreakBefore w:val="0"/>
              <w:rPr>
                <w:sz w:val="22"/>
                <w:szCs w:val="22"/>
              </w:rPr>
            </w:pPr>
            <w:r w:rsidDel="00000000" w:rsidR="00000000" w:rsidRPr="00000000">
              <w:rPr>
                <w:rtl w:val="0"/>
              </w:rPr>
            </w:r>
          </w:p>
        </w:tc>
        <w:tc>
          <w:tcPr/>
          <w:p w:rsidR="00000000" w:rsidDel="00000000" w:rsidP="00000000" w:rsidRDefault="00000000" w:rsidRPr="00000000" w14:paraId="00000056">
            <w:pPr>
              <w:pageBreakBefore w:val="0"/>
              <w:numPr>
                <w:ilvl w:val="0"/>
                <w:numId w:val="3"/>
              </w:numPr>
              <w:ind w:left="720" w:hanging="360"/>
              <w:rPr>
                <w:sz w:val="22"/>
                <w:szCs w:val="22"/>
                <w:u w:val="none"/>
              </w:rPr>
            </w:pPr>
            <w:r w:rsidDel="00000000" w:rsidR="00000000" w:rsidRPr="00000000">
              <w:rPr>
                <w:sz w:val="22"/>
                <w:szCs w:val="22"/>
                <w:rtl w:val="0"/>
              </w:rPr>
              <w:t xml:space="preserve">C. Townsend Ing will continue  serving for the second year of her term. </w:t>
            </w:r>
          </w:p>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 </w:t>
            </w:r>
          </w:p>
          <w:p w:rsidR="00000000" w:rsidDel="00000000" w:rsidP="00000000" w:rsidRDefault="00000000" w:rsidRPr="00000000" w14:paraId="00000058">
            <w:pPr>
              <w:pageBreakBefore w:val="0"/>
              <w:numPr>
                <w:ilvl w:val="0"/>
                <w:numId w:val="3"/>
              </w:numPr>
              <w:ind w:left="720" w:hanging="360"/>
              <w:rPr>
                <w:sz w:val="22"/>
                <w:szCs w:val="22"/>
                <w:u w:val="none"/>
              </w:rPr>
            </w:pPr>
            <w:r w:rsidDel="00000000" w:rsidR="00000000" w:rsidRPr="00000000">
              <w:rPr>
                <w:sz w:val="22"/>
                <w:szCs w:val="22"/>
                <w:rtl w:val="0"/>
              </w:rPr>
              <w:t xml:space="preserve">Ideas for action include: a) further communication about the travel/absence policy with D. Matlin; b) COA report to faculty at large to include travel/absence policy; c) further inquiry as we are learning about the life of a student athlete. Will re-visit next meeting. </w:t>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numPr>
                <w:ilvl w:val="0"/>
                <w:numId w:val="3"/>
              </w:numPr>
              <w:ind w:left="720" w:hanging="360"/>
              <w:rPr>
                <w:sz w:val="22"/>
                <w:szCs w:val="22"/>
                <w:u w:val="none"/>
              </w:rPr>
            </w:pPr>
            <w:r w:rsidDel="00000000" w:rsidR="00000000" w:rsidRPr="00000000">
              <w:rPr>
                <w:sz w:val="22"/>
                <w:szCs w:val="22"/>
                <w:rtl w:val="0"/>
              </w:rPr>
              <w:t xml:space="preserve">December 7.</w:t>
            </w:r>
          </w:p>
          <w:p w:rsidR="00000000" w:rsidDel="00000000" w:rsidP="00000000" w:rsidRDefault="00000000" w:rsidRPr="00000000" w14:paraId="0000005B">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D">
            <w:pPr>
              <w:pageBreakBefore w:val="0"/>
              <w:rPr>
                <w:sz w:val="20"/>
                <w:szCs w:val="20"/>
              </w:rPr>
            </w:pPr>
            <w:r w:rsidDel="00000000" w:rsidR="00000000" w:rsidRPr="00000000">
              <w:rPr>
                <w:rtl w:val="0"/>
              </w:rPr>
            </w:r>
          </w:p>
        </w:tc>
        <w:tc>
          <w:tcPr/>
          <w:p w:rsidR="00000000" w:rsidDel="00000000" w:rsidP="00000000" w:rsidRDefault="00000000" w:rsidRPr="00000000" w14:paraId="0000005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Athletics will on December 07, 2017.</w:t>
            </w:r>
            <w:r w:rsidDel="00000000" w:rsidR="00000000" w:rsidRPr="00000000">
              <w:rPr>
                <w:rtl w:val="0"/>
              </w:rPr>
            </w:r>
          </w:p>
        </w:tc>
        <w:tc>
          <w:tcPr/>
          <w:p w:rsidR="00000000" w:rsidDel="00000000" w:rsidP="00000000" w:rsidRDefault="00000000" w:rsidRPr="00000000" w14:paraId="0000005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C. Townsend Ing; seconded by J. Steele.  Passed unanimously.  Meeting adjourned at 2:07 PM.</w:t>
            </w:r>
            <w:r w:rsidDel="00000000" w:rsidR="00000000" w:rsidRPr="00000000">
              <w:rPr>
                <w:rtl w:val="0"/>
              </w:rPr>
            </w:r>
          </w:p>
        </w:tc>
      </w:tr>
    </w:tbl>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Respectfully submitted by Jamie Simpson Steele, staff</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Approved on December 7, 2017 with 3 votes in favor of approval and 0 against.</w:t>
      </w:r>
    </w:p>
    <w:p w:rsidR="00000000" w:rsidDel="00000000" w:rsidP="00000000" w:rsidRDefault="00000000" w:rsidRPr="00000000" w14:paraId="00000062">
      <w:pPr>
        <w:pageBreakBefore w:val="0"/>
        <w:rPr>
          <w:sz w:val="22"/>
          <w:szCs w:val="22"/>
        </w:rPr>
      </w:pPr>
      <w:r w:rsidDel="00000000" w:rsidR="00000000" w:rsidRPr="00000000">
        <w:rPr>
          <w:rtl w:val="0"/>
        </w:rPr>
      </w:r>
    </w:p>
    <w:p w:rsidR="00000000" w:rsidDel="00000000" w:rsidP="00000000" w:rsidRDefault="00000000" w:rsidRPr="00000000" w14:paraId="00000063">
      <w:pPr>
        <w:pageBreakBefore w:val="0"/>
        <w:ind w:left="720" w:firstLine="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jc w:val="center"/>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w:t>
    </w:r>
    <w:r w:rsidDel="00000000" w:rsidR="00000000" w:rsidRPr="00000000">
      <w:rPr>
        <w:b w:val="1"/>
        <w:smallCaps w:val="1"/>
        <w:sz w:val="20"/>
        <w:szCs w:val="20"/>
        <w:rtl w:val="0"/>
      </w:rPr>
      <w:t xml:space="preserve">Mānoa Faculty Senate</w:t>
    </w:r>
  </w:p>
  <w:p w:rsidR="00000000" w:rsidDel="00000000" w:rsidP="00000000" w:rsidRDefault="00000000" w:rsidRPr="00000000" w14:paraId="00000068">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